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both"/>
      </w:pPr>
      <w:r>
        <w:rPr>
          <w:b/>
          <w:sz w:val="32"/>
        </w:rPr>
        <w:t xml:space="preserve"> The Importance of Introducing Financial Literacy in Primary Education: A Theoretical Review</w:t>
      </w:r>
    </w:p>
    <w:p>
      <w:pPr>
        <w:jc w:val="center"/>
      </w:pPr>
      <w:r>
        <w:t xml:space="preserve">Author: Belabel Haroun </w:t>
        <w:br/>
        <w:t>Affiliation:U. Eloued</w:t>
        <w:br/>
        <w:t xml:space="preserve">Email: harfer07@gmail.com </w:t>
      </w:r>
      <w:bookmarkStart w:id="0" w:name="_GoBack"/>
      <w:bookmarkEnd w:id="0"/>
    </w:p>
    <w:p/>
    <w:p>
      <w:pPr>
        <w:pStyle w:val="1"/>
      </w:pPr>
      <w:r>
        <w:t>Abstract</w:t>
      </w:r>
    </w:p>
    <w:p>
      <w:r>
        <w:t>Financial literacy is increasingly recognized as a crucial life skill. This paper examines the importance of integrating financial literacy into primary education. It provides a theoretical review of existing literature, identifies key challenges, and proposes pedagogical strategies suitable for young learners. The study argues that early exposure to financial concepts enhances long-term financial behavior and decision-making.</w:t>
      </w:r>
    </w:p>
    <w:p>
      <w:r>
        <w:t>Keywords: Financial literacy, primary education, financial education, teaching strategies</w:t>
      </w:r>
    </w:p>
    <w:p>
      <w:pPr>
        <w:pStyle w:val="1"/>
      </w:pPr>
      <w:r>
        <w:t>1. Introduction</w:t>
      </w:r>
    </w:p>
    <w:p>
      <w:r>
        <w:t xml:space="preserve">Financial literacy has become a fundamental competence in modern economies. Individuals are required to make financial decisions from an early age, yet many lack essential knowledge and skills. </w:t>
        <w:br/>
        <w:t xml:space="preserve">Primary education represents a critical stage in cognitive development, making it an ideal phase to introduce basic financial concepts such as saving, spending, and value recognition. </w:t>
        <w:br/>
        <w:t>This paper aims to explore the theoretical foundations of financial literacy in primary education and highlight its importance.</w:t>
      </w:r>
    </w:p>
    <w:p>
      <w:pPr>
        <w:pStyle w:val="1"/>
      </w:pPr>
      <w:r>
        <w:t>2. Literature Review</w:t>
      </w:r>
    </w:p>
    <w:p>
      <w:r>
        <w:t xml:space="preserve">Financial literacy is defined as the ability to understand and use financial knowledge effectively (Lusardi, 2019). Studies show that early financial education improves long-term financial behavior (OECD, 2020). </w:t>
        <w:br/>
        <w:t>Children begin forming financial habits at a young age, influenced by both family and school environments. However, formal integration of financial education in primary curricula remains limited in many countries.</w:t>
      </w:r>
    </w:p>
    <w:p>
      <w:pPr>
        <w:pStyle w:val="1"/>
      </w:pPr>
      <w:r>
        <w:t>3. Importance of Financial Education in Primary School</w:t>
      </w:r>
    </w:p>
    <w:p>
      <w:r>
        <w:t xml:space="preserve">Early financial education helps develop awareness, responsibility, and critical thinking. </w:t>
        <w:br/>
        <w:t xml:space="preserve">Children who learn basic financial concepts early are more likely to develop positive saving habits and responsible spending behavior. </w:t>
        <w:br/>
        <w:t>It also prepares them for advanced economic learning in later stages.</w:t>
      </w:r>
    </w:p>
    <w:p>
      <w:pPr>
        <w:pStyle w:val="1"/>
      </w:pPr>
      <w:r>
        <w:t>4. Challenges of Teaching Financial Concepts</w:t>
      </w:r>
    </w:p>
    <w:p>
      <w:r>
        <w:t xml:space="preserve">Teaching financial concepts to children presents several challenges. Young learners may struggle with abstract ideas, and there is often a lack of appropriate teaching materials. </w:t>
        <w:br/>
        <w:t>Additionally, many teachers are not trained in financial education, limiting the effectiveness of instruction.</w:t>
      </w:r>
    </w:p>
    <w:p>
      <w:pPr>
        <w:pStyle w:val="1"/>
      </w:pPr>
      <w:r>
        <w:t>5. Teaching Strategies</w:t>
      </w:r>
    </w:p>
    <w:p>
      <w:r>
        <w:t xml:space="preserve">Effective teaching strategies include game-based learning, storytelling, and real-life applications. </w:t>
        <w:br/>
        <w:t xml:space="preserve">These methods make abstract concepts more concrete and engaging for young learners. </w:t>
        <w:br/>
        <w:t>Integrating technology and interactive tools can further enhance understanding.</w:t>
      </w:r>
    </w:p>
    <w:p>
      <w:pPr>
        <w:pStyle w:val="1"/>
      </w:pPr>
      <w:r>
        <w:t>6. Proposed Conceptual Model</w:t>
      </w:r>
    </w:p>
    <w:p>
      <w:r>
        <w:t xml:space="preserve">This paper proposes a three-stage model: awareness, practice, and application. </w:t>
        <w:br/>
        <w:t>Students first learn basic concepts, then engage in practical activities, and finally apply their knowledge in real-life situations.</w:t>
      </w:r>
    </w:p>
    <w:p>
      <w:pPr>
        <w:pStyle w:val="1"/>
      </w:pPr>
      <w:r>
        <w:t>7. Conclusion</w:t>
      </w:r>
    </w:p>
    <w:p>
      <w:r>
        <w:t xml:space="preserve">Financial literacy should be introduced at the primary level to build a strong foundation for future economic competence. </w:t>
        <w:br/>
        <w:t>Educational systems should adopt structured approaches and provide adequate training for teachers to ensure effective implementation.</w:t>
      </w:r>
    </w:p>
    <w:p>
      <w:pPr>
        <w:pStyle w:val="1"/>
      </w:pPr>
      <w:r>
        <w:t>References</w:t>
      </w:r>
    </w:p>
    <w:p>
      <w:r>
        <w:t>Lusardi, A. (2019). Financial literacy and financial education.</w:t>
      </w:r>
    </w:p>
    <w:p>
      <w:r>
        <w:t>OECD (2020). Financial literacy and education in schools.</w:t>
      </w:r>
    </w:p>
    <w:p>
      <w:r>
        <w:t>Huston, S. (2010). Measuring financial literacy.</w:t>
      </w:r>
    </w:p>
    <w:p>
      <w:r>
        <w:t>Atkinson, A.,&amp;Messy, F. (2012). Measuring financial literacy.</w:t>
      </w:r>
    </w:p>
    <w:p>
      <w:r>
        <w:t>Mandell, L. (2008). Financial education in schools.</w:t>
      </w:r>
    </w:p>
    <w:sectPr>
      <w:pgSz w:w="12240" w:h="15840"/>
      <w:pgMar w:top="1440" w:right="1800" w:bottom="1440" w:left="180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Droid Sans"/>
    <w:panose1 w:val="00000000000000000000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Droid Sans"/>
    <w:panose1 w:val="00000000000000000000"/>
    <w:charset w:val="80"/>
    <w:family w:val="modern"/>
    <w:pitch w:val="variable"/>
    <w:sig w:usb0="00000001" w:usb1="08070000" w:usb2="00000010" w:usb3="00000000" w:csb0="00020000" w:csb1="00000000"/>
  </w:font>
  <w:font w:name="Courier">
    <w:altName w:val="Courier New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singleLevel"/>
    <w:tmpl w:val="29761A62"/>
    <w:lvl w:ilvl="0">
      <w:start w:val="1"/>
      <w:numFmt w:val="bullet"/>
      <w:lvlRestart w:val="0"/>
      <w:pStyle w:val="27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multiLevelType w:val="singleLevel"/>
    <w:tmpl w:val="3D1EFFD4"/>
    <w:lvl w:ilvl="0">
      <w:start w:val="1"/>
      <w:numFmt w:val="bullet"/>
      <w:lvlRestart w:val="0"/>
      <w:pStyle w:val="28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singleLevel"/>
    <w:tmpl w:val="F3EAFDEC"/>
    <w:lvl w:ilvl="0">
      <w:start w:val="1"/>
      <w:numFmt w:val="bullet"/>
      <w:lvlRestart w:val="0"/>
      <w:pStyle w:val="29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multiLevelType w:val="singleLevel"/>
    <w:tmpl w:val="D0A62B40"/>
    <w:lvl w:ilvl="0">
      <w:start w:val="1"/>
      <w:numFmt w:val="decimal"/>
      <w:lvlRestart w:val="0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multiLevelType w:val="singleLevel"/>
    <w:tmpl w:val="38441652"/>
    <w:lvl w:ilvl="0">
      <w:start w:val="1"/>
      <w:numFmt w:val="decimal"/>
      <w:lvlRestart w:val="0"/>
      <w:pStyle w:val="3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multiLevelType w:val="singleLevel"/>
    <w:tmpl w:val="FB12693A"/>
    <w:lvl w:ilvl="0">
      <w:start w:val="1"/>
      <w:numFmt w:val="decimal"/>
      <w:lvlRestart w:val="0"/>
      <w:pStyle w:val="32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1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savePreviewPicture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Cambria" w:eastAsia="ＭＳ 明朝" w:cs="Arial" w:hAnsi="Cambria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480" w:after="0"/>
      <w:outlineLvl w:val="0"/>
    </w:pPr>
    <w:rPr>
      <w:rFonts w:ascii="Calibri" w:eastAsia="ＭＳ ゴシック" w:cs="Times New Roman" w:hAnsi="Calibri"/>
      <w:b/>
      <w:bCs/>
      <w:color w:val="365F91"/>
      <w:sz w:val="28"/>
      <w:szCs w:val="28"/>
    </w:rPr>
  </w:style>
  <w:style w:type="paragraph" w:styleId="2">
    <w:name w:val="heading 2"/>
    <w:basedOn w:val="0"/>
    <w:next w:val="0"/>
    <w:pPr>
      <w:keepNext/>
      <w:keepLines/>
      <w:spacing w:before="200" w:after="0"/>
      <w:outlineLvl w:val="1"/>
    </w:pPr>
    <w:rPr>
      <w:rFonts w:ascii="Calibri" w:eastAsia="ＭＳ ゴシック" w:cs="Times New Roman" w:hAnsi="Calibri"/>
      <w:b/>
      <w:bCs/>
      <w:color w:val="4F81BD"/>
      <w:sz w:val="26"/>
      <w:szCs w:val="26"/>
    </w:rPr>
  </w:style>
  <w:style w:type="paragraph" w:styleId="3">
    <w:name w:val="heading 3"/>
    <w:basedOn w:val="0"/>
    <w:next w:val="0"/>
    <w:pPr>
      <w:keepNext/>
      <w:keepLines/>
      <w:spacing w:before="200" w:after="0"/>
      <w:outlineLvl w:val="2"/>
    </w:pPr>
    <w:rPr>
      <w:rFonts w:ascii="Calibri" w:eastAsia="ＭＳ ゴシック" w:cs="Times New Roman" w:hAnsi="Calibri"/>
      <w:b/>
      <w:bCs/>
      <w:color w:val="4F81BD"/>
    </w:rPr>
  </w:style>
  <w:style w:type="paragraph" w:styleId="4">
    <w:name w:val="heading 4"/>
    <w:basedOn w:val="0"/>
    <w:next w:val="0"/>
    <w:pPr>
      <w:keepNext/>
      <w:keepLines/>
      <w:spacing w:before="200" w:after="0"/>
      <w:outlineLvl w:val="3"/>
    </w:pPr>
    <w:rPr>
      <w:rFonts w:ascii="Calibri" w:eastAsia="ＭＳ ゴシック" w:cs="Times New Roman" w:hAnsi="Calibri"/>
      <w:b/>
      <w:bCs/>
      <w:i/>
      <w:iCs/>
      <w:color w:val="4F81BD"/>
    </w:rPr>
  </w:style>
  <w:style w:type="paragraph" w:styleId="5">
    <w:name w:val="heading 5"/>
    <w:basedOn w:val="0"/>
    <w:next w:val="0"/>
    <w:pPr>
      <w:keepNext/>
      <w:keepLines/>
      <w:spacing w:before="200" w:after="0"/>
      <w:outlineLvl w:val="4"/>
    </w:pPr>
    <w:rPr>
      <w:rFonts w:ascii="Calibri" w:eastAsia="ＭＳ ゴシック" w:cs="Times New Roman" w:hAnsi="Calibri"/>
      <w:color w:val="243F60"/>
    </w:rPr>
  </w:style>
  <w:style w:type="paragraph" w:styleId="6">
    <w:name w:val="heading 6"/>
    <w:basedOn w:val="0"/>
    <w:next w:val="0"/>
    <w:pPr>
      <w:keepNext/>
      <w:keepLines/>
      <w:spacing w:before="200" w:after="0"/>
      <w:outlineLvl w:val="5"/>
    </w:pPr>
    <w:rPr>
      <w:rFonts w:ascii="Calibri" w:eastAsia="ＭＳ ゴシック" w:cs="Times New Roman" w:hAnsi="Calibri"/>
      <w:i/>
      <w:iCs/>
      <w:color w:val="243F60"/>
    </w:rPr>
  </w:style>
  <w:style w:type="paragraph" w:styleId="7">
    <w:name w:val="heading 7"/>
    <w:basedOn w:val="0"/>
    <w:next w:val="0"/>
    <w:pPr>
      <w:keepNext/>
      <w:keepLines/>
      <w:spacing w:before="200" w:after="0"/>
      <w:outlineLvl w:val="6"/>
    </w:pPr>
    <w:rPr>
      <w:rFonts w:ascii="Calibri" w:eastAsia="ＭＳ ゴシック" w:cs="Times New Roman" w:hAnsi="Calibri"/>
      <w:i/>
      <w:iCs/>
      <w:color w:val="404040"/>
    </w:rPr>
  </w:style>
  <w:style w:type="paragraph" w:styleId="8">
    <w:name w:val="heading 8"/>
    <w:basedOn w:val="0"/>
    <w:next w:val="0"/>
    <w:pPr>
      <w:keepNext/>
      <w:keepLines/>
      <w:spacing w:before="200" w:after="0"/>
      <w:outlineLvl w:val="7"/>
    </w:pPr>
    <w:rPr>
      <w:rFonts w:ascii="Calibri" w:eastAsia="ＭＳ ゴシック" w:cs="Times New Roman" w:hAnsi="Calibri"/>
      <w:color w:val="4F81BD"/>
      <w:sz w:val="20"/>
      <w:szCs w:val="20"/>
    </w:rPr>
  </w:style>
  <w:style w:type="paragraph" w:styleId="9">
    <w:name w:val="heading 9"/>
    <w:basedOn w:val="0"/>
    <w:next w:val="0"/>
    <w:pPr>
      <w:keepNext/>
      <w:keepLines/>
      <w:spacing w:before="200" w:after="0"/>
      <w:outlineLvl w:val="8"/>
    </w:pPr>
    <w:rPr>
      <w:rFonts w:ascii="Calibri" w:eastAsia="ＭＳ ゴシック" w:cs="Times New Roman" w:hAnsi="Calibri"/>
      <w:i/>
      <w:iCs/>
      <w:color w:val="404040"/>
      <w:sz w:val="20"/>
      <w:szCs w:val="20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footer"/>
    <w:basedOn w:val="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7">
    <w:name w:val="No Spacing"/>
    <w:pPr>
      <w:spacing w:after="0" w:line="240" w:lineRule="auto"/>
    </w:pPr>
    <w:rPr>
      <w:rFonts w:ascii="Cambria" w:eastAsia="ＭＳ 明朝" w:cs="Arial" w:hAnsi="Cambria"/>
      <w:sz w:val="22"/>
      <w:szCs w:val="22"/>
      <w:lang w:val="en-US" w:eastAsia="en-US" w:bidi="ar-SA"/>
    </w:rPr>
  </w:style>
  <w:style w:type="paragraph" w:styleId="18">
    <w:name w:val="Title"/>
    <w:basedOn w:val="0"/>
    <w:next w:val="0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ＭＳ ゴシック" w:cs="Times New Roman" w:hAnsi="Calibri"/>
      <w:color w:val="17365D"/>
      <w:spacing w:val="5"/>
      <w:kern w:val="28"/>
      <w:sz w:val="52"/>
      <w:szCs w:val="52"/>
    </w:rPr>
  </w:style>
  <w:style w:type="paragraph" w:styleId="19">
    <w:name w:val="Subtitle"/>
    <w:basedOn w:val="0"/>
    <w:next w:val="0"/>
    <w:rPr>
      <w:rFonts w:ascii="Calibri" w:eastAsia="ＭＳ ゴシック" w:cs="Times New Roman" w:hAnsi="Calibri"/>
      <w:i/>
      <w:iCs/>
      <w:color w:val="4F81BD"/>
      <w:spacing w:val="15"/>
      <w:sz w:val="24"/>
      <w:szCs w:val="24"/>
    </w:rPr>
  </w:style>
  <w:style w:type="paragraph" w:customStyle="1" w:styleId="20">
    <w:name w:val="List Paragraph"/>
    <w:basedOn w:val="0"/>
    <w:pPr>
      <w:ind w:left="720"/>
      <w:contextualSpacing/>
    </w:pPr>
  </w:style>
  <w:style w:type="paragraph" w:styleId="21">
    <w:name w:val="Body Text"/>
    <w:basedOn w:val="0"/>
    <w:pPr>
      <w:spacing w:after="120"/>
    </w:pPr>
  </w:style>
  <w:style w:type="paragraph" w:styleId="22">
    <w:name w:val="Body Text 2"/>
    <w:basedOn w:val="0"/>
    <w:pPr>
      <w:spacing w:after="120" w:line="480" w:lineRule="auto"/>
    </w:pPr>
  </w:style>
  <w:style w:type="paragraph" w:styleId="23">
    <w:name w:val="Body Text 3"/>
    <w:basedOn w:val="0"/>
    <w:pPr>
      <w:spacing w:after="120"/>
    </w:pPr>
    <w:rPr>
      <w:sz w:val="16"/>
      <w:szCs w:val="16"/>
    </w:rPr>
  </w:style>
  <w:style w:type="paragraph" w:styleId="24">
    <w:name w:val="List"/>
    <w:basedOn w:val="0"/>
    <w:pPr>
      <w:ind w:left="360" w:hanging="360"/>
      <w:contextualSpacing/>
    </w:pPr>
  </w:style>
  <w:style w:type="paragraph" w:styleId="25">
    <w:name w:val="List 2"/>
    <w:basedOn w:val="0"/>
    <w:pPr>
      <w:ind w:left="720" w:hanging="360"/>
      <w:contextualSpacing/>
    </w:pPr>
  </w:style>
  <w:style w:type="paragraph" w:styleId="26">
    <w:name w:val="List 3"/>
    <w:basedOn w:val="0"/>
    <w:pPr>
      <w:ind w:left="1080" w:hanging="360"/>
      <w:contextualSpacing/>
    </w:pPr>
  </w:style>
  <w:style w:type="paragraph" w:styleId="27">
    <w:name w:val="List Bullet"/>
    <w:basedOn w:val="0"/>
    <w:pPr>
      <w:numPr>
        <w:ilvl w:val="0"/>
        <w:numId w:val="1"/>
      </w:numPr>
      <w:contextualSpacing/>
    </w:pPr>
  </w:style>
  <w:style w:type="paragraph" w:styleId="28">
    <w:name w:val="List Bullet 2"/>
    <w:basedOn w:val="0"/>
    <w:pPr>
      <w:numPr>
        <w:ilvl w:val="0"/>
        <w:numId w:val="2"/>
      </w:numPr>
      <w:contextualSpacing/>
    </w:pPr>
  </w:style>
  <w:style w:type="paragraph" w:styleId="29">
    <w:name w:val="List Bullet 3"/>
    <w:basedOn w:val="0"/>
    <w:pPr>
      <w:numPr>
        <w:ilvl w:val="0"/>
        <w:numId w:val="3"/>
      </w:numPr>
      <w:contextualSpacing/>
    </w:pPr>
  </w:style>
  <w:style w:type="paragraph" w:styleId="30">
    <w:name w:val="List Number"/>
    <w:basedOn w:val="0"/>
    <w:pPr>
      <w:numPr>
        <w:ilvl w:val="0"/>
        <w:numId w:val="4"/>
      </w:numPr>
      <w:contextualSpacing/>
    </w:pPr>
  </w:style>
  <w:style w:type="paragraph" w:styleId="31">
    <w:name w:val="List Number 2"/>
    <w:basedOn w:val="0"/>
    <w:pPr>
      <w:numPr>
        <w:ilvl w:val="0"/>
        <w:numId w:val="5"/>
      </w:numPr>
      <w:contextualSpacing/>
    </w:pPr>
  </w:style>
  <w:style w:type="paragraph" w:styleId="32">
    <w:name w:val="List Number 3"/>
    <w:basedOn w:val="0"/>
    <w:pPr>
      <w:numPr>
        <w:ilvl w:val="0"/>
        <w:numId w:val="6"/>
      </w:numPr>
      <w:contextualSpacing/>
    </w:pPr>
  </w:style>
  <w:style w:type="paragraph" w:styleId="33">
    <w:name w:val="List Continue"/>
    <w:basedOn w:val="0"/>
    <w:pPr>
      <w:spacing w:after="120"/>
      <w:ind w:left="360"/>
      <w:contextualSpacing/>
    </w:pPr>
  </w:style>
  <w:style w:type="paragraph" w:styleId="34">
    <w:name w:val="List Continue 2"/>
    <w:basedOn w:val="0"/>
    <w:pPr>
      <w:spacing w:after="120"/>
      <w:ind w:left="720"/>
      <w:contextualSpacing/>
    </w:pPr>
  </w:style>
  <w:style w:type="paragraph" w:styleId="35">
    <w:name w:val="List Continue 3"/>
    <w:basedOn w:val="0"/>
    <w:pPr>
      <w:spacing w:after="120"/>
      <w:ind w:left="1080"/>
      <w:contextualSpacing/>
    </w:pPr>
  </w:style>
  <w:style w:type="paragraph" w:styleId="36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ＭＳ 明朝" w:cs="Arial" w:hAnsi="Courier"/>
      <w:sz w:val="20"/>
      <w:szCs w:val="20"/>
      <w:lang w:val="en-US" w:eastAsia="en-US" w:bidi="ar-SA"/>
    </w:rPr>
  </w:style>
  <w:style w:type="paragraph" w:customStyle="1" w:styleId="37">
    <w:name w:val="Quote"/>
    <w:basedOn w:val="0"/>
    <w:next w:val="0"/>
    <w:rPr>
      <w:i/>
      <w:iCs/>
      <w:color w:val="000000"/>
    </w:rPr>
  </w:style>
  <w:style w:type="paragraph" w:styleId="38">
    <w:name w:val="caption"/>
    <w:basedOn w:val="0"/>
    <w:next w:val="0"/>
    <w:pPr>
      <w:spacing w:line="240" w:lineRule="auto"/>
    </w:pPr>
    <w:rPr>
      <w:b/>
      <w:bCs/>
      <w:color w:val="4F81BD"/>
      <w:sz w:val="18"/>
      <w:szCs w:val="18"/>
    </w:rPr>
  </w:style>
  <w:style w:type="character" w:styleId="39">
    <w:name w:val="Strong"/>
    <w:basedOn w:val="10"/>
    <w:rPr>
      <w:b/>
      <w:bCs/>
    </w:rPr>
  </w:style>
  <w:style w:type="character" w:styleId="40">
    <w:name w:val="Emphasis"/>
    <w:basedOn w:val="10"/>
    <w:rPr>
      <w:i/>
      <w:iCs/>
    </w:rPr>
  </w:style>
  <w:style w:type="paragraph" w:customStyle="1" w:styleId="41">
    <w:name w:val="Intense Quote"/>
    <w:basedOn w:val="0"/>
    <w:next w:val="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42">
    <w:name w:val="Subtle Emphasis"/>
    <w:basedOn w:val="10"/>
    <w:rPr>
      <w:i/>
      <w:iCs/>
      <w:color w:val="808080"/>
    </w:rPr>
  </w:style>
  <w:style w:type="character" w:customStyle="1" w:styleId="43">
    <w:name w:val="Intense Emphasis"/>
    <w:basedOn w:val="10"/>
    <w:rPr>
      <w:b/>
      <w:bCs/>
      <w:i/>
      <w:iCs/>
      <w:color w:val="4F81BD"/>
    </w:rPr>
  </w:style>
  <w:style w:type="character" w:customStyle="1" w:styleId="44">
    <w:name w:val="Subtle Reference"/>
    <w:basedOn w:val="10"/>
    <w:rPr>
      <w:caps w:val="0"/>
      <w:smallCaps/>
      <w:color w:val="C0504D"/>
      <w:u w:val="single"/>
    </w:rPr>
  </w:style>
  <w:style w:type="character" w:customStyle="1" w:styleId="45">
    <w:name w:val="Intense Reference"/>
    <w:basedOn w:val="10"/>
    <w:rPr>
      <w:b/>
      <w:bCs/>
      <w:caps w:val="0"/>
      <w:smallCaps/>
      <w:color w:val="C0504D"/>
      <w:spacing w:val="5"/>
      <w:u w:val="single"/>
    </w:rPr>
  </w:style>
  <w:style w:type="character" w:customStyle="1" w:styleId="46">
    <w:name w:val="Book Title"/>
    <w:basedOn w:val="10"/>
    <w:rPr>
      <w:b/>
      <w:bCs/>
      <w:caps w:val="0"/>
      <w:smallCaps/>
      <w:spacing w:val="5"/>
    </w:rPr>
  </w:style>
  <w:style w:type="paragraph" w:customStyle="1" w:styleId="47">
    <w:name w:val="TOC Heading"/>
    <w:basedOn w:val="1"/>
    <w:next w:val="0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Honor_Office</Application>
  <Pages>3</Pages>
  <Words>452</Words>
  <Characters>2990</Characters>
  <Lines>64</Lines>
  <Paragraphs>25</Paragraphs>
  <CharactersWithSpaces>3430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٢٠٢٦-٠٣-٢٦T١٥:١٢:٢٩Z</dcterms:modified>
</cp:coreProperties>
</file>