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customXml/itemProps1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otnotes.xml" ContentType="application/vnd.openxmlformats-officedocument.wordprocessingml.footnotes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rStyle w:val="PO17"/>
          <w:i w:val="1"/>
          <w:color w:val="808080" w:themeColor="text1" w:themeTint="7F"/>
          <w:position w:val="0"/>
          <w:sz w:val="22"/>
          <w:szCs w:val="22"/>
          <w:rFonts w:ascii="Calibri" w:eastAsia="Calibri" w:hAnsi="Calibri" w:hint="default"/>
        </w:rPr>
        <w:autoSpaceDE w:val="1"/>
        <w:autoSpaceDN w:val="1"/>
      </w:pPr>
    </w:p>
    <w:p>
      <w:pPr>
        <w:sectPr>
          <w:bidi/>
          <w:footerReference w:type="default" r:id="rId6"/>
          <w:pgSz w:w="11906" w:h="16838"/>
          <w:pgMar w:top="1440" w:left="1800" w:bottom="1440" w:right="1800" w:header="708" w:footer="708" w:gutter="0"/>
          <w:pgNumType w:fmt="decimal"/>
          <w:docGrid w:type="default" w:linePitch="360" w:charSpace="0"/>
        </w:sect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22"/>
          <w:szCs w:val="22"/>
          <w:rFonts w:ascii="Calibri" w:eastAsia="Calibri" w:hAnsi="Calibri" w:hint="default"/>
        </w:rPr>
        <w:autoSpaceDE w:val="1"/>
        <w:autoSpaceDN w:val="1"/>
      </w:pP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22"/>
          <w:szCs w:val="22"/>
          <w:rFonts w:ascii="Calibri" w:eastAsia="Calibri" w:hAnsi="Calibri" w:hint="default"/>
        </w:rPr>
        <w:autoSpaceDE w:val="1"/>
        <w:autoSpaceDN w:val="1"/>
      </w:pP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22"/>
          <w:szCs w:val="22"/>
          <w:rFonts w:ascii="Calibri" w:eastAsia="Calibri" w:hAnsi="Calibri" w:hint="default"/>
        </w:rPr>
        <w:autoSpaceDE w:val="1"/>
        <w:autoSpaceDN w:val="1"/>
      </w:pP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22"/>
          <w:szCs w:val="22"/>
          <w:rFonts w:ascii="Calibri" w:eastAsia="Calibri" w:hAnsi="Calibri" w:hint="default"/>
        </w:rPr>
        <w:autoSpaceDE w:val="1"/>
        <w:autoSpaceDN w:val="1"/>
      </w:pP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22"/>
          <w:szCs w:val="22"/>
          <w:rFonts w:ascii="Calibri" w:eastAsia="Calibri" w:hAnsi="Calibri" w:hint="default"/>
        </w:rPr>
        <w:autoSpaceDE w:val="1"/>
        <w:autoSpaceDN w:val="1"/>
      </w:pP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22"/>
          <w:szCs w:val="22"/>
          <w:rFonts w:ascii="Calibri" w:eastAsia="Calibri" w:hAnsi="Calibri" w:hint="default"/>
        </w:rPr>
        <w:autoSpaceDE w:val="1"/>
        <w:autoSpaceDN w:val="1"/>
      </w:pPr>
    </w:p>
    <w:p>
      <w:pPr>
        <w:bidi w:val="1"/>
        <w:numPr>
          <w:ilvl w:val="0"/>
          <w:numId w:val="0"/>
        </w:numPr>
        <w:jc w:val="center"/>
        <w:spacing w:lineRule="auto" w:line="275" w:before="0" w:after="200"/>
        <w:ind w:left="0" w:firstLine="0"/>
        <w:rPr>
          <w:rtl/>
          <w:b w:val="1"/>
          <w:color w:val="auto"/>
          <w:position w:val="0"/>
          <w:sz w:val="56"/>
          <w:szCs w:val="56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b w:val="1"/>
          <w:color w:val="auto"/>
          <w:position w:val="0"/>
          <w:sz w:val="56"/>
          <w:szCs w:val="56"/>
          <w:rFonts w:ascii="Traditional Arabic" w:eastAsia="Traditional Arabic" w:hAnsi="Traditional Arabic" w:hint="default"/>
        </w:rPr>
        <w:t xml:space="preserve">حل المنازعات التجارية عن طريق التوفيق</w:t>
      </w:r>
    </w:p>
    <w:p>
      <w:pPr>
        <w:bidi w:val="1"/>
        <w:numPr>
          <w:ilvl w:val="0"/>
          <w:numId w:val="0"/>
        </w:numPr>
        <w:jc w:val="center"/>
        <w:spacing w:lineRule="auto" w:line="275" w:before="0" w:after="200"/>
        <w:ind w:left="0" w:firstLine="0"/>
        <w:rPr>
          <w:rtl/>
          <w:b w:val="1"/>
          <w:color w:val="auto"/>
          <w:position w:val="0"/>
          <w:sz w:val="56"/>
          <w:szCs w:val="56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b w:val="1"/>
          <w:color w:val="auto"/>
          <w:position w:val="0"/>
          <w:sz w:val="56"/>
          <w:szCs w:val="56"/>
          <w:rFonts w:ascii="Traditional Arabic" w:eastAsia="Traditional Arabic" w:hAnsi="Traditional Arabic" w:hint="default"/>
        </w:rPr>
        <w:t xml:space="preserve">تأليف </w:t>
      </w:r>
    </w:p>
    <w:p>
      <w:pPr>
        <w:bidi w:val="1"/>
        <w:numPr>
          <w:ilvl w:val="0"/>
          <w:numId w:val="0"/>
        </w:numPr>
        <w:jc w:val="center"/>
        <w:spacing w:lineRule="auto" w:line="275" w:before="0" w:after="200"/>
        <w:ind w:left="0" w:firstLine="0"/>
        <w:rPr>
          <w:rtl/>
          <w:b w:val="1"/>
          <w:color w:val="auto"/>
          <w:position w:val="0"/>
          <w:sz w:val="56"/>
          <w:szCs w:val="56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b w:val="1"/>
          <w:color w:val="auto"/>
          <w:position w:val="0"/>
          <w:sz w:val="56"/>
          <w:szCs w:val="56"/>
          <w:rFonts w:ascii="Traditional Arabic" w:eastAsia="Traditional Arabic" w:hAnsi="Traditional Arabic" w:hint="default"/>
        </w:rPr>
        <w:t xml:space="preserve">مصطفى محمد صالح محمد </w:t>
      </w:r>
    </w:p>
    <w:p>
      <w:pPr>
        <w:bidi w:val="1"/>
        <w:numPr>
          <w:ilvl w:val="0"/>
          <w:numId w:val="0"/>
        </w:numPr>
        <w:jc w:val="center"/>
        <w:spacing w:lineRule="auto" w:line="275" w:before="0" w:after="200"/>
        <w:ind w:left="0" w:firstLine="0"/>
        <w:rPr>
          <w:rtl/>
          <w:b w:val="1"/>
          <w:color w:val="auto"/>
          <w:position w:val="0"/>
          <w:sz w:val="56"/>
          <w:szCs w:val="56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b w:val="1"/>
          <w:color w:val="auto"/>
          <w:position w:val="0"/>
          <w:sz w:val="56"/>
          <w:szCs w:val="56"/>
          <w:rFonts w:ascii="Traditional Arabic" w:eastAsia="Traditional Arabic" w:hAnsi="Traditional Arabic" w:hint="default"/>
        </w:rPr>
        <w:t xml:space="preserve">المحامي والمستشار والباحث القانوني </w:t>
      </w:r>
    </w:p>
    <w:p>
      <w:pPr>
        <w:bidi w:val="1"/>
        <w:numPr>
          <w:ilvl w:val="0"/>
          <w:numId w:val="0"/>
        </w:numPr>
        <w:jc w:val="center"/>
        <w:spacing w:lineRule="auto" w:line="275" w:before="0" w:after="200"/>
        <w:ind w:left="0" w:firstLine="0"/>
        <w:rPr>
          <w:rtl/>
          <w:b w:val="1"/>
          <w:color w:val="auto"/>
          <w:position w:val="0"/>
          <w:sz w:val="40"/>
          <w:szCs w:val="40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b w:val="1"/>
          <w:color w:val="auto"/>
          <w:position w:val="0"/>
          <w:sz w:val="56"/>
          <w:szCs w:val="56"/>
          <w:rFonts w:ascii="Traditional Arabic" w:eastAsia="Traditional Arabic" w:hAnsi="Traditional Arabic" w:hint="default"/>
        </w:rPr>
        <w:t xml:space="preserve">2024 </w:t>
      </w:r>
    </w:p>
    <w:p>
      <w:pPr>
        <w:bidi w:val="1"/>
        <w:numPr>
          <w:ilvl w:val="0"/>
          <w:numId w:val="0"/>
        </w:numPr>
        <w:jc w:val="center"/>
        <w:spacing w:lineRule="auto" w:line="275" w:before="0" w:after="200"/>
        <w:ind w:left="0" w:firstLine="0"/>
        <w:rPr>
          <w:rtl/>
          <w:b w:val="1"/>
          <w:color w:val="auto"/>
          <w:position w:val="0"/>
          <w:sz w:val="40"/>
          <w:szCs w:val="40"/>
          <w:rFonts w:ascii="Traditional Arabic" w:eastAsia="Traditional Arabic" w:hAnsi="Traditional Arabic" w:hint="default"/>
        </w:rPr>
        <w:autoSpaceDE w:val="1"/>
        <w:autoSpaceDN w:val="1"/>
      </w:pPr>
    </w:p>
    <w:p>
      <w:pPr>
        <w:bidi w:val="1"/>
        <w:numPr>
          <w:ilvl w:val="0"/>
          <w:numId w:val="0"/>
        </w:numPr>
        <w:jc w:val="center"/>
        <w:spacing w:lineRule="auto" w:line="275" w:before="0" w:after="200"/>
        <w:ind w:left="0" w:firstLine="0"/>
        <w:rPr>
          <w:rtl/>
          <w:b w:val="1"/>
          <w:color w:val="auto"/>
          <w:position w:val="0"/>
          <w:sz w:val="40"/>
          <w:szCs w:val="40"/>
          <w:rFonts w:ascii="Traditional Arabic" w:eastAsia="Traditional Arabic" w:hAnsi="Traditional Arabic" w:hint="default"/>
        </w:rPr>
        <w:autoSpaceDE w:val="1"/>
        <w:autoSpaceDN w:val="1"/>
      </w:pPr>
    </w:p>
    <w:p>
      <w:pPr>
        <w:bidi w:val="1"/>
        <w:numPr>
          <w:ilvl w:val="0"/>
          <w:numId w:val="0"/>
        </w:numPr>
        <w:jc w:val="center"/>
        <w:spacing w:lineRule="auto" w:line="275" w:before="0" w:after="200"/>
        <w:ind w:left="0" w:firstLine="0"/>
        <w:rPr>
          <w:rtl/>
          <w:b w:val="1"/>
          <w:color w:val="auto"/>
          <w:position w:val="0"/>
          <w:sz w:val="40"/>
          <w:szCs w:val="40"/>
          <w:rFonts w:ascii="Traditional Arabic" w:eastAsia="Traditional Arabic" w:hAnsi="Traditional Arabic" w:hint="default"/>
        </w:rPr>
        <w:autoSpaceDE w:val="1"/>
        <w:autoSpaceDN w:val="1"/>
      </w:pPr>
    </w:p>
    <w:p>
      <w:pPr>
        <w:bidi w:val="1"/>
        <w:numPr>
          <w:ilvl w:val="0"/>
          <w:numId w:val="0"/>
        </w:numPr>
        <w:jc w:val="center"/>
        <w:spacing w:lineRule="auto" w:line="275" w:before="0" w:after="200"/>
        <w:ind w:left="0" w:firstLine="0"/>
        <w:rPr>
          <w:rtl/>
          <w:b w:val="1"/>
          <w:color w:val="auto"/>
          <w:position w:val="0"/>
          <w:sz w:val="40"/>
          <w:szCs w:val="40"/>
          <w:rFonts w:ascii="Traditional Arabic" w:eastAsia="Traditional Arabic" w:hAnsi="Traditional Arabic" w:hint="default"/>
        </w:rPr>
        <w:autoSpaceDE w:val="1"/>
        <w:autoSpaceDN w:val="1"/>
      </w:pPr>
    </w:p>
    <w:p>
      <w:pPr>
        <w:bidi w:val="1"/>
        <w:numPr>
          <w:ilvl w:val="0"/>
          <w:numId w:val="0"/>
        </w:numPr>
        <w:jc w:val="center"/>
        <w:spacing w:lineRule="auto" w:line="275" w:before="0" w:after="200"/>
        <w:ind w:left="0" w:firstLine="0"/>
        <w:rPr>
          <w:rtl/>
          <w:b w:val="1"/>
          <w:color w:val="auto"/>
          <w:position w:val="0"/>
          <w:sz w:val="40"/>
          <w:szCs w:val="40"/>
          <w:rFonts w:ascii="Traditional Arabic" w:eastAsia="Traditional Arabic" w:hAnsi="Traditional Arabic" w:hint="default"/>
        </w:rPr>
        <w:autoSpaceDE w:val="1"/>
        <w:autoSpaceDN w:val="1"/>
      </w:pPr>
    </w:p>
    <w:p>
      <w:pPr>
        <w:bidi w:val="1"/>
        <w:numPr>
          <w:ilvl w:val="0"/>
          <w:numId w:val="0"/>
        </w:numPr>
        <w:jc w:val="center"/>
        <w:spacing w:lineRule="auto" w:line="275" w:before="0" w:after="200"/>
        <w:ind w:left="0" w:firstLine="0"/>
        <w:rPr>
          <w:rtl/>
          <w:b w:val="1"/>
          <w:color w:val="auto"/>
          <w:position w:val="0"/>
          <w:sz w:val="40"/>
          <w:szCs w:val="40"/>
          <w:rFonts w:ascii="Traditional Arabic" w:eastAsia="Traditional Arabic" w:hAnsi="Traditional Arabic" w:hint="default"/>
        </w:rPr>
        <w:autoSpaceDE w:val="1"/>
        <w:autoSpaceDN w:val="1"/>
      </w:pPr>
    </w:p>
    <w:p>
      <w:pPr>
        <w:bidi w:val="1"/>
        <w:numPr>
          <w:ilvl w:val="0"/>
          <w:numId w:val="0"/>
        </w:numPr>
        <w:jc w:val="center"/>
        <w:spacing w:lineRule="auto" w:line="275" w:before="0" w:after="200"/>
        <w:ind w:left="0" w:firstLine="0"/>
        <w:rPr>
          <w:rtl/>
          <w:b w:val="1"/>
          <w:color w:val="auto"/>
          <w:position w:val="0"/>
          <w:sz w:val="40"/>
          <w:szCs w:val="40"/>
          <w:rFonts w:ascii="Traditional Arabic" w:eastAsia="Traditional Arabic" w:hAnsi="Traditional Arabic" w:hint="default"/>
        </w:rPr>
        <w:autoSpaceDE w:val="1"/>
        <w:autoSpaceDN w:val="1"/>
      </w:pPr>
    </w:p>
    <w:p>
      <w:pPr>
        <w:bidi w:val="1"/>
        <w:numPr>
          <w:ilvl w:val="0"/>
          <w:numId w:val="0"/>
        </w:numPr>
        <w:jc w:val="center"/>
        <w:spacing w:lineRule="auto" w:line="275" w:before="0" w:after="200"/>
        <w:ind w:left="0" w:firstLine="0"/>
        <w:rPr>
          <w:rtl/>
          <w:b w:val="1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b w:val="1"/>
          <w:color w:val="auto"/>
          <w:position w:val="0"/>
          <w:sz w:val="40"/>
          <w:szCs w:val="40"/>
          <w:rFonts w:ascii="Traditional Arabic" w:eastAsia="Traditional Arabic" w:hAnsi="Traditional Arabic" w:hint="default"/>
        </w:rPr>
        <w:t xml:space="preserve">مقدمة 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ان المتعاملون في الاعمال التجارية يتعرضون مع كل فرصة عمل جديدة إلى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مخاطر جديدة ولذلك اصبحت طرق حل المنازعات في هذا العصر مقبولة كعنصر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هام من عناصر إدارة المخاطر , وتوجد هناك صعوبات في المنازعات التجارية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الدولية - خاصة – مثل : تباين الاختصاص القضائي واختلاف القوانين و الاعراف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التجارية  و تعدد الاجراءات . فكيف يحل المشتغلون في الاعمال التجارية الدولية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منازعاتهم أثناء المراحل المختلفة . 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سيقدم البحث بشكل مبسط بتوضيح البدائل المختلفة لإجراءات التقاضي في الدولة .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والتي يمكن اللجوء اليها لمنع او لحسم المنازعات التجارية ذات الطابع الدولي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لحديثي العهد بالتجارة الدولية . 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وقد تاسست الكثير من مراكز التحكيم والتوفيق حول العالم , وقد كبرة اهمية وفائدة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هذة المراكز في الحسم الفعال للمنازعات التجارية الدولية  , ولقد زادة بالفترة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الاخيرة أهمية الوسائل البديلة لحسم المنازعات كوسيلة فعالة لحسم المنازعات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التجارة والاستثمارات الدولية في الدول العربية بسبب لما لهذا الوسائل من ميزات ,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وسرعة البت النزاع , ومع ان التحكيم يبقى هو الوسيلة الاساسية  البديلة لحسم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المنازعات , ولكن لا نستطيع اغفال وتقليل أهمية الوسائل البديلة الاخرى كالتوفيق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والوساطة والتي تتميز بأنها من الوسائل غير القضائية لحل المنازعات التجارية . 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تتعاظم اهمية هذة الوسائل كل يوم خاصة بعد تكريس المعاهدات الدولية لها , مثل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ملحق تسوية المنازعات في اتفاقية المؤسسة العربية لضمان الاستثمار و اتفاقية البنك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الدولي بشأن تسوية منازعات الاستثمار بين الدول ومواطني الدول الاخرى و كما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وضعت لجنة الأمم المحتدة لقانون التجارة الدولية ( الأونسيترال ) قواعد للتوفيق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ساعدت في انتشار هذة الوسيلة .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b w:val="1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b w:val="1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سبب اختيار الموضوع : 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فهذا الوسائل تساعد في حل النزاع بأقصر الطرق الممكنة وأكثرها إيجابية , وبأقل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جهد ووقت , وأكثر سرية حفاظا على سمعتهم مع منحهم مرونة وحرية لا تتوفر في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المحاكم , فلا غرابة اذن ان تلقى الوسائل البديلة لحل النزاعات اهتماما متزايد على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مستوى مختلف الانظمة القانونية والقضائية وتزايد الاهتمام الدولي بها . وجدير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بالذكر ان الوسائل البديلة لحل المنازعات قد اصبحت من الوسائل الملائمة للفصل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في مجموعة هامة من المنازعات التجارية الدولية وحماية المستهلك , والمنازعات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الناشئة في بيئة الانترنت , والتجارة الالكترونية , والملكية الفكرية في العصر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الرقمي وغيرها , حتى اصبح يطلق الفقهاء على هذه الوسائل بالنظر إلى طابعة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العملي ( الطرق المناسبة لفض المنازعات ) بل لقد اصبح اللجوء إلى التحكيم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مشروطا في غالب الأحيان بضرورة اللجوء مسبقا إلى الوساطة أو التوفيق . 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b w:val="1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b w:val="1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مشكلة البحث  و فروض وتساؤلات البحث :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قلة المراجع وحداثة الموضوع المتطرق له في البحث , تعد مشكلة للباحثين فيه وانه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بسبب طبيعة الخصوصية للشركات وعدم الكشف عن أسرارها التجارية تعد أحد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المعوقات التي يصعب فيها على الباحث الوصول إلى أرقام أو طريقة تقريبيه للتوفيق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الوساطة و بالطبع هناك احترام من الموفق او الوسيط في العمليات البديلة لحل او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لحسم النزاع بعدم إفشاء اي معلومات للغير . 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ومع تبيان اهمية الوسائل البديلة لحل المنازعات وانها اصبحت الوسائل الملائمة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للفصل في مجموعة من المنازعات كما اسلفنا . هل يمكن الاعتماد على الوسائل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البديلة كالتوفيق والوساطة وجعلها وسائل رئيسية لحسم المنازعات التجارية ؟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 بمعنى هل ترتقي هذه الوسائل لتكون في مرتبة التحكيم التجاري أم انها ستظل مجرد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وسائل لحسم النزاع ولا ترتقي لمرتبة التحكيم ؟ 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وأيضا مامدى أخذ هذه الوسائل في الدول العربية لتطبيقها وما مدى فعالية تطبيقها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كمرحلة قبل التحكيم ؟  وهل هناك شروط أو عوائق تؤدي إلى عدم الأخذ بهذه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الوسائل ؟ وهاهي أكثر المشكلات العلمية التي تواجه الموفقين والوسطاء بين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الشركات التجارية أو الاطراف المتقدمين لحسم المناعزعات بالوسائل البديلة ؟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وماهي أكثر المخاوف من عدم الأخذ بالتوفيق أو الوساطة في العقود التجارية ؟ هذه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بعض التساؤلات التي تطرح عن هذا الموضوع .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b w:val="1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b w:val="1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منهج البحث :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سأتناول دراسة موضوع البحث متبعا المنهج التحليلي التأصيلي للقواعد والاحكام (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قانون الأونسيترال النموذجي للتوفيق التجاري الدولي عام 2002 ) التي تنظم هذا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النوع من الوسائل البديلة لحسم المنازعات التجارية  , وبعض المراجع الاخرى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المساعدة.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</w:p>
    <w:p>
      <w:pPr>
        <w:bidi w:val="1"/>
        <w:numPr>
          <w:ilvl w:val="0"/>
          <w:numId w:val="0"/>
        </w:numPr>
        <w:jc w:val="center"/>
        <w:spacing w:lineRule="auto" w:line="275" w:before="0" w:after="200"/>
        <w:ind w:left="0" w:firstLine="0"/>
        <w:rPr>
          <w:rtl/>
          <w:b w:val="1"/>
          <w:color w:val="auto"/>
          <w:position w:val="0"/>
          <w:sz w:val="36"/>
          <w:szCs w:val="36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b w:val="1"/>
          <w:color w:val="auto"/>
          <w:position w:val="0"/>
          <w:sz w:val="36"/>
          <w:szCs w:val="36"/>
          <w:rFonts w:ascii="Traditional Arabic" w:eastAsia="Traditional Arabic" w:hAnsi="Traditional Arabic" w:hint="default"/>
        </w:rPr>
        <w:t xml:space="preserve">الفصل الاول التوفيق التجاري </w:t>
      </w:r>
    </w:p>
    <w:p>
      <w:pPr>
        <w:bidi w:val="1"/>
        <w:numPr>
          <w:ilvl w:val="0"/>
          <w:numId w:val="0"/>
        </w:numPr>
        <w:jc w:val="center"/>
        <w:spacing w:lineRule="auto" w:line="275" w:before="0" w:after="200"/>
        <w:ind w:left="0" w:firstLine="0"/>
        <w:rPr>
          <w:rtl/>
          <w:b w:val="1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b w:val="1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المبحث الاول :ماهية التوفيق التجاري</w:t>
      </w:r>
    </w:p>
    <w:p>
      <w:pPr>
        <w:pStyle w:val="PO26"/>
        <w:bidi w:val="0"/>
        <w:numPr>
          <w:ilvl w:val="0"/>
          <w:numId w:val="5"/>
        </w:numPr>
        <w:jc w:val="right"/>
        <w:spacing w:lineRule="auto" w:line="275" w:before="0" w:after="200"/>
        <w:contextualSpacing w:val="1"/>
        <w:ind w:left="720" w:right="0" w:hanging="360"/>
        <w:rPr>
          <w:b w:val="1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b w:val="1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تعريف التوفيق :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ورد في قانون الأونسيترال النموذجي للتوفيق التجاري الدولي الصادر عام 2002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بأنه (( أي عملية سواء أشير إليها بتعبير التوفيق أو الوساطة أو تعبير آخر ذى مدلول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مماثل  يطلب فيها الطرفان إلى شخص آخر أو أشخاص اخرين ( الموفق )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مساعدتهما في سعيهما الى التوصل لتسوية ودية لنزاعهما الناشئ عن علاقة تعاقدية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, أو علاقة قانونية أو المتصل بتلك العلاقة , ولا يكون للموفق الصلاحية لفرض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حل النزاع على الطرفين )) </w:t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(</w:t>
      </w:r>
      <w:r>
        <w:rPr>
          <w:rtl/>
          <w:rStyle w:val="PO154"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footnoteReference w:id="1"/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)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.وعرفه الفقه ( نوع من انواع الوسائل البديلة لحسم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المنازعات التجارية يتم بواسطة شخص ثالث حيادي ونزية, يحاول ان يقرب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أطراف النزاع , ويقترح إتفاق صلح بينهم , ويطلق على هذا الشخص اسم الموفق ( </w:t>
      </w:r>
      <w:r>
        <w:rPr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conciliater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 )  وتكون قراراته غير ملزمة ولايمكن تنفذها جبرا ) </w:t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(</w:t>
      </w:r>
      <w:r>
        <w:rPr>
          <w:rtl/>
          <w:rStyle w:val="PO154"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footnoteReference w:id="2"/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)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.</w:t>
      </w:r>
    </w:p>
    <w:p>
      <w:pPr>
        <w:pStyle w:val="PO26"/>
        <w:bidi w:val="0"/>
        <w:numPr>
          <w:ilvl w:val="0"/>
          <w:numId w:val="5"/>
        </w:numPr>
        <w:jc w:val="both"/>
        <w:spacing w:lineRule="auto" w:line="275" w:before="0" w:after="200"/>
        <w:contextualSpacing w:val="1"/>
        <w:ind w:left="720" w:right="0" w:hanging="360"/>
        <w:rPr>
          <w:rtl/>
          <w:b w:val="1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b w:val="1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التوفيق نوعين :                                                                         </w:t>
      </w:r>
    </w:p>
    <w:p>
      <w:pPr>
        <w:pStyle w:val="PO26"/>
        <w:bidi w:val="0"/>
        <w:numPr>
          <w:ilvl w:val="0"/>
          <w:numId w:val="2"/>
        </w:numPr>
        <w:jc w:val="both"/>
        <w:spacing w:lineRule="auto" w:line="275" w:before="0" w:after="200"/>
        <w:contextualSpacing w:val="1"/>
        <w:ind w:left="1080" w:right="0" w:hanging="720"/>
        <w:rPr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التوفيق الرضائي : فهو ودي رضائي يتم دون تتدخل من القضاء </w:t>
      </w:r>
    </w:p>
    <w:p>
      <w:pPr>
        <w:pStyle w:val="PO26"/>
        <w:bidi w:val="1"/>
        <w:numPr>
          <w:ilvl w:val="0"/>
          <w:numId w:val="0"/>
        </w:numPr>
        <w:jc w:val="left"/>
        <w:spacing w:lineRule="auto" w:line="275" w:before="0" w:after="200"/>
        <w:contextualSpacing w:val="1"/>
        <w:ind w:right="1080"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والتوفيق بهذا المعنى هو الاصل الذي تنص عليه الشروط التعاقدية </w:t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(</w:t>
      </w:r>
      <w:r>
        <w:rPr>
          <w:rtl/>
          <w:rStyle w:val="PO154"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footnoteReference w:id="3"/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)</w:t>
      </w:r>
    </w:p>
    <w:p>
      <w:pPr>
        <w:pStyle w:val="PO26"/>
        <w:bidi w:val="0"/>
        <w:numPr>
          <w:ilvl w:val="0"/>
          <w:numId w:val="2"/>
        </w:numPr>
        <w:jc w:val="both"/>
        <w:spacing w:lineRule="auto" w:line="275" w:before="0" w:after="200"/>
        <w:contextualSpacing w:val="1"/>
        <w:ind w:left="1080" w:right="0" w:hanging="720"/>
        <w:rPr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التوفيق القضائي : يتم امام القضاء إبان رفع الدعوى بالنزاع إليه ويحدث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في حالتين : </w:t>
      </w:r>
    </w:p>
    <w:p>
      <w:pPr>
        <w:pStyle w:val="PO26"/>
        <w:bidi w:val="0"/>
        <w:numPr>
          <w:ilvl w:val="0"/>
          <w:numId w:val="3"/>
        </w:numPr>
        <w:jc w:val="both"/>
        <w:spacing w:lineRule="auto" w:line="275" w:before="0" w:after="200"/>
        <w:contextualSpacing w:val="1"/>
        <w:ind w:left="1440" w:right="0" w:hanging="360"/>
        <w:rPr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الحالة الاول : حيث يطلب الخصوم بانفسهم من المحكمة التدخل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لتسوية النزاع بطريق التوفيق وتفوضهم المحكمة باختيار موفق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يرتضونه للقيام بتلك المهمة او بقيام هيئة المحكمة ذاتها بمساعي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التوفيق , وفي هذا الحالة يكون التوفيق اقرب إلى التوفيق الاتفاقي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رغم تسميته توفيقا قضائيا وهي تسمية تعكس جانبا مهما , حيث ان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مايتم التوصل اليه تصادق عليه المحكمة أو تصدر به حكما , أو تلحقه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بمحضر جلستها , ويصير بتلك المثابة سندا تنفيذيا </w:t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(</w:t>
      </w:r>
      <w:r>
        <w:rPr>
          <w:rStyle w:val="PO154"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footnoteReference w:id="4"/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)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.</w:t>
      </w:r>
    </w:p>
    <w:p>
      <w:pPr>
        <w:pStyle w:val="PO26"/>
        <w:bidi w:val="0"/>
        <w:numPr>
          <w:ilvl w:val="0"/>
          <w:numId w:val="3"/>
        </w:numPr>
        <w:jc w:val="both"/>
        <w:spacing w:lineRule="auto" w:line="275" w:before="0" w:after="200"/>
        <w:contextualSpacing w:val="1"/>
        <w:ind w:left="1440" w:right="0" w:hanging="360"/>
        <w:rPr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الحالة الثانية : حيث تعرض المحكمة بنفسها , في بعض التشريعات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المقارنة , التوفيق في المنازعات على الخصوم قبل اتخاذ إجراءات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التقاضي بشأنها , ومن التشريعات التي أخذت بالحالتين السابقتين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للتوفيق القضائي قانون المرافعات الفرنسي في تعديله لعام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1995,1996 حيث نصت المادة (21) على أنه (( يدخل في مهمة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القاضي التوفيق بين الاطراف )) كما جاء بنص المادة (127) انه ((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يستطيع الاطراف التوفيق أو التصالح من تلقاء انفسهم أو بمبادرة من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القاضي طوال فترة الخصومة )) </w:t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(</w:t>
      </w:r>
      <w:r>
        <w:rPr>
          <w:rtl/>
          <w:rStyle w:val="PO154"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footnoteReference w:id="5"/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                                                               )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.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b w:val="1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b w:val="1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-  خصائص التوفيق :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b w:val="1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(طريقة ودية لتسوية المنازعات</w:t>
      </w:r>
      <w:r>
        <w:rPr>
          <w:rtl/>
          <w:b w:val="1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 -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طريق قوامه تدخل احد من الغير </w:t>
      </w:r>
      <w:r>
        <w:rPr>
          <w:rtl/>
          <w:b w:val="1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-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قرارات ليست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لها حجية الامر المقضي)</w:t>
      </w:r>
      <w:r>
        <w:rPr>
          <w:rtl/>
          <w:b w:val="1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.</w:t>
      </w:r>
    </w:p>
    <w:p>
      <w:pPr>
        <w:pStyle w:val="PO26"/>
        <w:bidi w:val="0"/>
        <w:numPr>
          <w:ilvl w:val="0"/>
          <w:numId w:val="3"/>
        </w:numPr>
        <w:jc w:val="right"/>
        <w:spacing w:lineRule="auto" w:line="275" w:before="0" w:after="200"/>
        <w:contextualSpacing w:val="1"/>
        <w:ind w:left="1440" w:right="0" w:hanging="360"/>
        <w:rPr>
          <w:rtl/>
          <w:b w:val="1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b w:val="1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مميزات التوفيق التجاري :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b w:val="1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b w:val="1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الفرع الاول : السرعة والاقتصاد في الاجراءات 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b w:val="1"/>
          <w:color w:val="auto"/>
          <w:position w:val="0"/>
          <w:sz w:val="32"/>
          <w:szCs w:val="32"/>
          <w:u w:val="single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b w:val="1"/>
          <w:color w:val="auto"/>
          <w:position w:val="0"/>
          <w:sz w:val="32"/>
          <w:szCs w:val="32"/>
          <w:u w:val="single"/>
          <w:rFonts w:ascii="Traditional Arabic" w:eastAsia="Traditional Arabic" w:hAnsi="Traditional Arabic" w:hint="default"/>
        </w:rPr>
        <w:t xml:space="preserve">تحقيق العدالة السريعة المرضية 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تعد العدالة السريعة المرضية اهم الاهداف التي يسعى المنظمون  للوصول إليها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وتحقيقها فهي تظل الهاجس الذي يشغل بالهم ويسيطر عليهم دوما , وسرعة حسم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المنازعات بالوسائل البديلة ومنها التوفيق أمر مشجع لعلاقات التجارية الدولية التي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تتأثر بتقلبات سعر الصرف والبضائع , فالثقة  الموفق عن حل النزاع خير من ضياع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الوقت امام القضاء للوصول إلى الحق بكاملة</w:t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(</w:t>
      </w:r>
      <w:r>
        <w:rPr>
          <w:rtl/>
          <w:rStyle w:val="PO154"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footnoteReference w:id="6"/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)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.حيث  لاتستغرق عملية التوفيق وقتا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طويل فأكثر عملية قد تستغرق من شهر إلى ثلاث شهور</w:t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(</w:t>
      </w:r>
      <w:r>
        <w:rPr>
          <w:rtl/>
          <w:rStyle w:val="PO154"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footnoteReference w:id="7"/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)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.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b w:val="1"/>
          <w:color w:val="auto"/>
          <w:position w:val="0"/>
          <w:sz w:val="32"/>
          <w:szCs w:val="32"/>
          <w:u w:val="single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b w:val="1"/>
          <w:color w:val="auto"/>
          <w:position w:val="0"/>
          <w:sz w:val="32"/>
          <w:szCs w:val="32"/>
          <w:u w:val="single"/>
          <w:rFonts w:ascii="Traditional Arabic" w:eastAsia="Traditional Arabic" w:hAnsi="Traditional Arabic" w:hint="default"/>
        </w:rPr>
        <w:t xml:space="preserve">الحصول على عدالة أقل  تكلفة 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فهي لاتحتاج إلى محامين او مصاريف شهود وخبراء وقليلة التكلفة مقارنة بالتحكيم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ولما توفره من كسب الوقت الذي قد يتقلب معه اسعار البضائع والخدمات وأسعار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الصرف </w:t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(</w:t>
      </w:r>
      <w:r>
        <w:rPr>
          <w:rtl/>
          <w:rStyle w:val="PO154"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footnoteReference w:id="8"/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)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.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b w:val="1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b w:val="1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الفرع الثاني : المحافظة على العلاقات التعاقدية 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إن اختيار الأطراف للتوفيق كوسيلة لحسم النزاع لايأتي إلا من اجل غاية وهي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علاقتهم المستقبلية , فهذه الوسيلة لاتهدف فقط إلى إصلاح الأضرار المترتبة على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خروج العلاقة , أو بعد أن يثور النزاع , خصوصا بالنسبة للاطراف المتعاقدة على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مشروع طويل الأجل , فقد يكون من المهم بالنسبة لهم الحفاظ على علاقة جيدة في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حالة نشوء نزاع بينهم , وذلك من اجل الابقاء على المعاملات التجارية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المستقبلية ,ويكون من الضروري في مثل هذه الاحوال محاولة حسم النزاع بين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الاطراف بشكل ودي , فتحى المنازعات الدولية بين الدول عندما تلجأ للوسائل البديلة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للنزاع فهي تهدف إلى استمرار العلاقة والتعاقد بيهنم , لأن مصالحهم الحيوية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مترابطة فتحاول ان تتفادى القضاء والتحكيم , حتى لا يكون هناك حدة بعد صدور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القرار بشكل ملزم </w:t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(</w:t>
      </w:r>
      <w:r>
        <w:rPr>
          <w:rtl/>
          <w:rStyle w:val="PO154"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footnoteReference w:id="9"/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)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.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b w:val="1"/>
          <w:color w:val="auto"/>
          <w:position w:val="0"/>
          <w:sz w:val="32"/>
          <w:szCs w:val="32"/>
          <w:u w:val="single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b w:val="1"/>
          <w:color w:val="auto"/>
          <w:position w:val="0"/>
          <w:sz w:val="32"/>
          <w:szCs w:val="32"/>
          <w:u w:val="single"/>
          <w:rFonts w:ascii="Traditional Arabic" w:eastAsia="Traditional Arabic" w:hAnsi="Traditional Arabic" w:hint="default"/>
        </w:rPr>
        <w:t xml:space="preserve">اصلاح اضرار أطراف العلاقة وسريتها 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يهدف التوفيق إلى جبر الأضرار التي لحقت بأحد اطراف العلاقة من جراء عدم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التنفيذ , عكس الطرق القضائية أو التحكيمية فالتوفيق يعسى إلى إصلاح الضرر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الناشئ عن العلاقة من خلال حل ودي نابع من ارادة صادقة للأطراف لتجنب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الوقوف موقف المنازعين </w:t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(</w:t>
      </w:r>
      <w:r>
        <w:rPr>
          <w:rtl/>
          <w:rStyle w:val="PO154"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footnoteReference w:id="10"/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)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.وسرية الوساطة تبقي العلاقات مترابطة قوية بين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طرفي النزاع , وتؤدي إلى التعايش الايجابي بينهما في المستقبل , والمحافظة على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الأسرار التجارية أو التكنولوجية أو الصناعية لدرجة أن بعض الشركات تفضل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خسارة حقها على كشف أسرارها التجارية , أو الصناعية , أو التكنولوجية , والتي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تحرص على إبقائها سرا غير معروف للغير , لأنها هي سر نجاحها , وفي إذاعتها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أمام القضاء لتحقيق مبدأ العلانية وبال على نجاحها </w:t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(</w:t>
      </w:r>
      <w:r>
        <w:rPr>
          <w:rtl/>
          <w:rStyle w:val="PO154"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footnoteReference w:id="11"/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)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.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b w:val="1"/>
          <w:color w:val="auto"/>
          <w:position w:val="0"/>
          <w:sz w:val="32"/>
          <w:szCs w:val="32"/>
          <w:u w:val="single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b w:val="1"/>
          <w:color w:val="auto"/>
          <w:position w:val="0"/>
          <w:sz w:val="32"/>
          <w:szCs w:val="32"/>
          <w:u w:val="single"/>
          <w:rFonts w:ascii="Traditional Arabic" w:eastAsia="Traditional Arabic" w:hAnsi="Traditional Arabic" w:hint="default"/>
        </w:rPr>
        <w:t xml:space="preserve">اقامة التوازن والتعادل بين الأطراف 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تسعى التوفيق لجانب إصلاح الاضرار المتولدة عن العلاقة التعاقدية إلى ايجاد نوع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م التوازن او التعادل بين التزامات الاطراف , وكل ذلك من طريق عمل الموفق ,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فهذا الاخير يصل للحلول التي تعبر عن رضاء أطراف النزاع وبتكثيف جهدة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يتوصل إلى حل نهائي مرضي للطرفين ( عند التقاء وجهات النظر على نقطة اتفاق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فإن هذا من شأنة إقامة نوع من التوازن العقدي بين التزامات الأطراف تهيئة وتساعد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بدورها على إعادة التوازن بين الإلتزامات المتولدة عن العلاقة العقدية ) </w:t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(</w:t>
      </w:r>
      <w:r>
        <w:rPr>
          <w:rtl/>
          <w:rStyle w:val="PO154"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footnoteReference w:id="12"/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)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.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</w:p>
    <w:p>
      <w:pPr>
        <w:bidi w:val="1"/>
        <w:numPr>
          <w:ilvl w:val="0"/>
          <w:numId w:val="0"/>
        </w:numPr>
        <w:jc w:val="center"/>
        <w:spacing w:lineRule="auto" w:line="275" w:before="0" w:after="200"/>
        <w:ind w:left="0" w:firstLine="0"/>
        <w:rPr>
          <w:rtl/>
          <w:b w:val="1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b w:val="1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المبحث الثاني :اشكال السند القانوني للتوفيق</w:t>
      </w:r>
    </w:p>
    <w:p>
      <w:pPr>
        <w:bidi w:val="1"/>
        <w:numPr>
          <w:ilvl w:val="0"/>
          <w:numId w:val="0"/>
        </w:numPr>
        <w:jc w:val="center"/>
        <w:spacing w:lineRule="auto" w:line="275" w:before="0" w:after="200"/>
        <w:ind w:left="0" w:firstLine="0"/>
        <w:rPr>
          <w:rtl/>
          <w:b w:val="1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b w:val="1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الفرع الاول : شرط التوفيق 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هو اتفاق اطراف العلاقة القانونية على اللجوء إلى التوفيق لتسوية ماقد ينشأ بينهم من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منازعات مستقبلا , سواء ورد هذا الإتفاق ضمن شورط أو بنود عقد معين أم ورد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في صورة إتفاق مستقل ملحق به </w:t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(</w:t>
      </w:r>
      <w:r>
        <w:rPr>
          <w:rtl/>
          <w:rStyle w:val="PO154"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footnoteReference w:id="13"/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)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يترتب على ذلك : </w:t>
      </w:r>
    </w:p>
    <w:p>
      <w:pPr>
        <w:pStyle w:val="PO26"/>
        <w:bidi w:val="0"/>
        <w:numPr>
          <w:ilvl w:val="0"/>
          <w:numId w:val="4"/>
        </w:numPr>
        <w:jc w:val="right"/>
        <w:spacing w:lineRule="auto" w:line="275" w:before="0" w:after="200"/>
        <w:contextualSpacing w:val="1"/>
        <w:ind w:left="1080" w:right="0" w:hanging="720"/>
        <w:rPr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ان الشرط لا يكون إلا في التوفيق الرضائي</w:t>
      </w:r>
    </w:p>
    <w:p>
      <w:pPr>
        <w:pStyle w:val="PO26"/>
        <w:bidi w:val="0"/>
        <w:numPr>
          <w:ilvl w:val="0"/>
          <w:numId w:val="4"/>
        </w:numPr>
        <w:jc w:val="right"/>
        <w:spacing w:lineRule="auto" w:line="275" w:before="0" w:after="200"/>
        <w:contextualSpacing w:val="1"/>
        <w:ind w:left="1080" w:right="0" w:hanging="720"/>
        <w:rPr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انه لا تحدد موضوع النزاع في شرط التوفيق </w:t>
      </w:r>
    </w:p>
    <w:p>
      <w:pPr>
        <w:pStyle w:val="PO26"/>
        <w:bidi w:val="0"/>
        <w:numPr>
          <w:ilvl w:val="0"/>
          <w:numId w:val="4"/>
        </w:numPr>
        <w:jc w:val="right"/>
        <w:spacing w:lineRule="auto" w:line="275" w:before="0" w:after="200"/>
        <w:contextualSpacing w:val="1"/>
        <w:ind w:left="1080" w:right="0" w:hanging="720"/>
        <w:rPr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لابد ان يستوفي اركان الاتفاق ( الاهلية – المشروعية – المحل – السبب)</w:t>
      </w:r>
    </w:p>
    <w:p>
      <w:pPr>
        <w:pStyle w:val="PO26"/>
        <w:bidi w:val="0"/>
        <w:numPr>
          <w:ilvl w:val="0"/>
          <w:numId w:val="4"/>
        </w:numPr>
        <w:jc w:val="right"/>
        <w:spacing w:lineRule="auto" w:line="275" w:before="0" w:after="200"/>
        <w:contextualSpacing w:val="1"/>
        <w:ind w:left="1080" w:right="0" w:hanging="720"/>
        <w:rPr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على غرار شرط التحكيم , فان شرط التوفيق مستقل عن العقد المدرج فيه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او الملحق به , فلا يبطل ببطلان ذلك العقد ولايثأثر بما يلحق به من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اسباب تؤدي إلى تعطيله , طالما استجمع شرط التوفيق في ذاته شروط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وجوده وصحته </w:t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(</w:t>
      </w:r>
      <w:r>
        <w:rPr>
          <w:rtl/>
          <w:rStyle w:val="PO154"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footnoteReference w:id="14"/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)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.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</w:p>
    <w:p>
      <w:pPr>
        <w:bidi w:val="1"/>
        <w:numPr>
          <w:ilvl w:val="0"/>
          <w:numId w:val="0"/>
        </w:numPr>
        <w:jc w:val="center"/>
        <w:spacing w:lineRule="auto" w:line="275" w:before="0" w:after="200"/>
        <w:ind w:left="0" w:firstLine="0"/>
        <w:rPr>
          <w:rtl/>
          <w:b w:val="1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b w:val="1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الفرع الثاني : مشارطة التوفيق 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هو نوع من الاتفاق على اللجوء إلى التوفيق الذي يتم التراضى عليه بعد وقوع النزاع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بين أطرافه , ولابد أن يراعى من ناحية ضرورة ان يتضمن المشارطة بيانا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بموضوع التوفيق , المسائل والمشكلات التي سيتناولها التوفيق , وتحديد مايريده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الطرفان , ومن ناحية ثانية ان تلك المشارطة يتم الاتفاق عليها وتوقيعها من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الاطراف في حال التوفيق الرضائي أو الاتفاقي الذي يتم خارج حدود القضاء , سواء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كانت بمبادرة من الاطراف او القاضي , او المحكم , ومن ناحية اخيرة فانه لامشكله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على اطراف النزاع إذا ابرموا مشارطة توفيق بعد وقوع النزاع رغم وجود التوفيق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في العقد او المعاملة بينهم والمدرج به قبل وقوع النزاع , فهو مفيد لتحديد الموضوع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والمسائل التي سيدور حولها التوفيق , ولايؤدي إبرام مشارطة التوفيق إلى إلغاء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شرط التوفيق كما ان بطلان احدهما لا يؤدي إلى بطلان الاخير </w:t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(</w:t>
      </w:r>
      <w:r>
        <w:rPr>
          <w:rtl/>
          <w:rStyle w:val="PO154"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footnoteReference w:id="15"/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)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.</w:t>
      </w:r>
    </w:p>
    <w:p>
      <w:pPr>
        <w:bidi w:val="1"/>
        <w:numPr>
          <w:ilvl w:val="0"/>
          <w:numId w:val="0"/>
        </w:numPr>
        <w:jc w:val="center"/>
        <w:spacing w:lineRule="auto" w:line="275" w:before="0" w:after="200"/>
        <w:ind w:left="0" w:firstLine="0"/>
        <w:rPr>
          <w:rtl/>
          <w:b w:val="1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b w:val="1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الفرع الثالث : التوفيق بالإحالة 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من المتصور أن يجئ الإتفاق على تسوية النزاع القائم بين الأطراف بطريق التوفيق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عن طريق إحالة ترد في العقد أو المعاملة إلى مستند , أو محرر يتضمن شرط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التوفيق ومن ذلك مثلا : أن يضمن أطراف عقد مقاولة من الباطن إتفاقهم بندا حول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تسوية المنازعات , وبدلا من النص الصريح على وسيلة تسوية النزاع يتخصرون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الطريق ويكتبون بندا في عقد المقاولة من الباطن يحيل الى بند أو شرط وارد في عقد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المقاولة الاصلي المبرم بين المقاول العام ورب العمل أو المالك , وينص على تسوية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المنازعات وديا عن طريق التوفيق , كان ينص في عقد المقاولة من الباطن على ان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(( تسوى منازعات هذا العقد بذات وسائل تسوية منازعات عقد المقاولة بين المقاول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ورب العمل )) ويكون عقد المقاولة الاخير ينص على ان (( اي نزاع ينشا بين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الاطرفين , حول تفسير او تنفيذ هذا العقد , او اي امر يتعلق به يحاول الاطراف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تسويته بطريق التوفيق , فإن لم ينجح ماعيهم في ذلك يعرض النزاع على هيئة تحكيم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يتم الاتفاق على تشكيلها وتحديد الاجراءات امامها </w:t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(</w:t>
      </w:r>
      <w:r>
        <w:rPr>
          <w:rtl/>
          <w:rStyle w:val="PO154"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footnoteReference w:id="16"/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)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, وللاعتراف بصحتها لابد من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توفير شرطين : </w:t>
      </w:r>
    </w:p>
    <w:p>
      <w:pPr>
        <w:pStyle w:val="PO26"/>
        <w:bidi w:val="0"/>
        <w:numPr>
          <w:ilvl w:val="0"/>
          <w:numId w:val="6"/>
        </w:numPr>
        <w:jc w:val="right"/>
        <w:spacing w:lineRule="auto" w:line="275" w:before="0" w:after="200"/>
        <w:contextualSpacing w:val="1"/>
        <w:ind w:left="1080" w:right="0" w:hanging="72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أن يكون العقد المحال له مكتوب .</w:t>
      </w:r>
    </w:p>
    <w:p>
      <w:pPr>
        <w:pStyle w:val="PO26"/>
        <w:bidi w:val="0"/>
        <w:numPr>
          <w:ilvl w:val="0"/>
          <w:numId w:val="6"/>
        </w:numPr>
        <w:jc w:val="right"/>
        <w:spacing w:lineRule="auto" w:line="275" w:before="0" w:after="200"/>
        <w:contextualSpacing w:val="1"/>
        <w:ind w:left="1080" w:right="0" w:hanging="72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ان تكون الاحالة واضحه في إعتبار شرط التوفيق المحال إليه جزء من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العقد المحال له.</w:t>
      </w:r>
    </w:p>
    <w:p>
      <w:pPr>
        <w:pStyle w:val="PO26"/>
        <w:bidi w:val="0"/>
        <w:numPr>
          <w:ilvl w:val="0"/>
          <w:numId w:val="0"/>
        </w:numPr>
        <w:jc w:val="right"/>
        <w:spacing w:lineRule="auto" w:line="275" w:before="0" w:after="200"/>
        <w:contextualSpacing w:val="1"/>
        <w:ind w:left="720" w:righ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</w:p>
    <w:p>
      <w:pPr>
        <w:pStyle w:val="PO26"/>
        <w:bidi w:val="0"/>
        <w:numPr>
          <w:ilvl w:val="0"/>
          <w:numId w:val="0"/>
        </w:numPr>
        <w:jc w:val="right"/>
        <w:spacing w:lineRule="auto" w:line="275" w:before="0" w:after="200"/>
        <w:contextualSpacing w:val="1"/>
        <w:ind w:left="720" w:righ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</w:p>
    <w:p>
      <w:pPr>
        <w:pStyle w:val="PO26"/>
        <w:bidi w:val="0"/>
        <w:numPr>
          <w:ilvl w:val="0"/>
          <w:numId w:val="0"/>
        </w:numPr>
        <w:jc w:val="right"/>
        <w:spacing w:lineRule="auto" w:line="275" w:before="0" w:after="200"/>
        <w:contextualSpacing w:val="1"/>
        <w:ind w:left="720" w:righ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</w:p>
    <w:p>
      <w:pPr>
        <w:pStyle w:val="PO26"/>
        <w:bidi w:val="0"/>
        <w:numPr>
          <w:ilvl w:val="0"/>
          <w:numId w:val="0"/>
        </w:numPr>
        <w:jc w:val="right"/>
        <w:spacing w:lineRule="auto" w:line="275" w:before="0" w:after="200"/>
        <w:contextualSpacing w:val="1"/>
        <w:ind w:left="720" w:righ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</w:p>
    <w:p>
      <w:pPr>
        <w:pStyle w:val="PO26"/>
        <w:bidi w:val="0"/>
        <w:numPr>
          <w:ilvl w:val="0"/>
          <w:numId w:val="0"/>
        </w:numPr>
        <w:jc w:val="right"/>
        <w:spacing w:lineRule="auto" w:line="275" w:before="0" w:after="200"/>
        <w:contextualSpacing w:val="1"/>
        <w:ind w:left="720" w:righ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</w:p>
    <w:p>
      <w:pPr>
        <w:pStyle w:val="PO26"/>
        <w:bidi w:val="0"/>
        <w:numPr>
          <w:ilvl w:val="0"/>
          <w:numId w:val="0"/>
        </w:numPr>
        <w:jc w:val="right"/>
        <w:spacing w:lineRule="auto" w:line="275" w:before="0" w:after="200"/>
        <w:contextualSpacing w:val="1"/>
        <w:ind w:left="720" w:righ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</w:p>
    <w:p>
      <w:pPr>
        <w:pStyle w:val="PO26"/>
        <w:bidi w:val="0"/>
        <w:numPr>
          <w:ilvl w:val="0"/>
          <w:numId w:val="0"/>
        </w:numPr>
        <w:jc w:val="right"/>
        <w:spacing w:lineRule="auto" w:line="275" w:before="0" w:after="200"/>
        <w:contextualSpacing w:val="1"/>
        <w:ind w:left="720" w:righ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</w:p>
    <w:p>
      <w:pPr>
        <w:pStyle w:val="PO26"/>
        <w:bidi w:val="0"/>
        <w:numPr>
          <w:ilvl w:val="0"/>
          <w:numId w:val="0"/>
        </w:numPr>
        <w:jc w:val="right"/>
        <w:spacing w:lineRule="auto" w:line="275" w:before="0" w:after="200"/>
        <w:contextualSpacing w:val="1"/>
        <w:ind w:left="720" w:righ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</w:p>
    <w:p>
      <w:pPr>
        <w:pStyle w:val="PO26"/>
        <w:bidi w:val="0"/>
        <w:numPr>
          <w:ilvl w:val="0"/>
          <w:numId w:val="0"/>
        </w:numPr>
        <w:jc w:val="right"/>
        <w:spacing w:lineRule="auto" w:line="275" w:before="0" w:after="200"/>
        <w:contextualSpacing w:val="1"/>
        <w:ind w:left="720" w:righ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</w:p>
    <w:p>
      <w:pPr>
        <w:pStyle w:val="PO26"/>
        <w:bidi w:val="0"/>
        <w:numPr>
          <w:ilvl w:val="0"/>
          <w:numId w:val="0"/>
        </w:numPr>
        <w:jc w:val="right"/>
        <w:spacing w:lineRule="auto" w:line="275" w:before="0" w:after="200"/>
        <w:contextualSpacing w:val="1"/>
        <w:ind w:left="720" w:righ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</w:p>
    <w:p>
      <w:pPr>
        <w:pStyle w:val="PO26"/>
        <w:bidi w:val="0"/>
        <w:numPr>
          <w:ilvl w:val="0"/>
          <w:numId w:val="0"/>
        </w:numPr>
        <w:jc w:val="right"/>
        <w:spacing w:lineRule="auto" w:line="275" w:before="0" w:after="200"/>
        <w:contextualSpacing w:val="1"/>
        <w:ind w:left="720" w:righ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</w:p>
    <w:p>
      <w:pPr>
        <w:pStyle w:val="PO26"/>
        <w:bidi w:val="0"/>
        <w:numPr>
          <w:ilvl w:val="0"/>
          <w:numId w:val="0"/>
        </w:numPr>
        <w:jc w:val="right"/>
        <w:spacing w:lineRule="auto" w:line="275" w:before="0" w:after="200"/>
        <w:contextualSpacing w:val="1"/>
        <w:ind w:left="720" w:righ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</w:p>
    <w:p>
      <w:pPr>
        <w:pStyle w:val="PO26"/>
        <w:bidi w:val="0"/>
        <w:numPr>
          <w:ilvl w:val="0"/>
          <w:numId w:val="0"/>
        </w:numPr>
        <w:jc w:val="right"/>
        <w:spacing w:lineRule="auto" w:line="275" w:before="0" w:after="200"/>
        <w:contextualSpacing w:val="1"/>
        <w:ind w:left="720" w:righ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</w:p>
    <w:p>
      <w:pPr>
        <w:bidi w:val="1"/>
        <w:numPr>
          <w:ilvl w:val="0"/>
          <w:numId w:val="0"/>
        </w:numPr>
        <w:jc w:val="center"/>
        <w:spacing w:lineRule="auto" w:line="275" w:before="0" w:after="200"/>
        <w:ind w:left="0" w:firstLine="0"/>
        <w:rPr>
          <w:rtl/>
          <w:b w:val="1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b w:val="1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المبحث الثالث:التمييز بين التوفيق والتحكيم 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يشترك التوفيق مع التحكيم في بعض الصفات فهما يتميزان بطابع إختياري ملزم بعد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الاتفاق عليه فهدفهما الاساسي هو الوصول إلى نقطة تفصل في النزاع القائم , وان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المسائل التي يرد على التحكيم يمكن الاتفاق على إجراء التوفيق بشأنها </w:t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(</w:t>
      </w:r>
      <w:r>
        <w:rPr>
          <w:rtl/>
          <w:rStyle w:val="PO154"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footnoteReference w:id="17"/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)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. يتشابه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التوفيق والتحكيم بأنهما وسيلتان لتسوية المنازعات التجارية بدلا من القضائ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والهدف من الاتفاق بين طرفي النزاع على التحكيم او التوفيق هو لحل نزاع قائم أو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محتمل , اذا تم الاشتراط بين الطرفين في النزاع على حل المنازعات بالتحكيم أو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التوفيق , فإنة يجب عليهما احترام هذا الشرط وعدم عرض المنازعة على القضاء ,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ان كل من الوسيلتين يوجد طرف ثالثا او طرفا اخر يقوم بعملية التحكيم او بعملية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التوفيق , ويسمى في التحكيم المحكم ويسمى في التوفيق الموفق او الوسيط </w:t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(</w:t>
      </w:r>
      <w:r>
        <w:rPr>
          <w:rtl/>
          <w:rStyle w:val="PO154"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footnoteReference w:id="18"/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)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ومع ذلك فان التحكيم يتختلف عن التوفيق في :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التوفيق غير ملزم ام التحكيم فقراره ملزم دون استلزام موافقة اطراف النزاع  ولا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يمكن التراجع عن التحكيم قبل انتهائه بصدور الحكم فيه على خلاف التوفيق الذي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يمكن العدول عنه </w:t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(</w:t>
      </w:r>
      <w:r>
        <w:rPr>
          <w:rtl/>
          <w:rStyle w:val="PO154"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footnoteReference w:id="19"/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)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.و تختلف امكانية مساهمة الأطراف في صنعه , فكما هو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معروف يقوم المحكم بعمل قضائي خاص بهدف تسوية مايعرض عليه من منازعات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وعليه فإن مايصدره من قرارات تفرض على الاطراف </w:t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(</w:t>
      </w:r>
      <w:r>
        <w:rPr>
          <w:rtl/>
          <w:rStyle w:val="PO154"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footnoteReference w:id="20"/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)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, اما الموفق فيفصل في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النزاع عن طريق تخلي كل طرف عن جزء من مطالبه أي عن طريق تنازلات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متبادلة فان اصر كل طرف على موقفه او متمسك بكل مطالبة فلن يكون هناك توفيق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, فعمل الموفق يعتمد على دور الاطراف في المساعدة والتعاون في حل وانهاء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النزاع </w:t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(</w:t>
      </w:r>
      <w:r>
        <w:rPr>
          <w:rtl/>
          <w:rStyle w:val="PO154"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footnoteReference w:id="21"/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)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.</w:t>
      </w:r>
    </w:p>
    <w:p>
      <w:pPr>
        <w:bidi w:val="1"/>
        <w:numPr>
          <w:ilvl w:val="0"/>
          <w:numId w:val="0"/>
        </w:numPr>
        <w:jc w:val="center"/>
        <w:spacing w:lineRule="auto" w:line="275" w:before="0" w:after="200"/>
        <w:ind w:left="0" w:firstLine="0"/>
        <w:rPr>
          <w:rtl/>
          <w:b w:val="1"/>
          <w:color w:val="auto"/>
          <w:position w:val="0"/>
          <w:sz w:val="28"/>
          <w:szCs w:val="28"/>
          <w:rFonts w:ascii="Calibri" w:eastAsia="Calibri" w:hAnsi="Calibri" w:hint="default"/>
        </w:rPr>
        <w:autoSpaceDE w:val="1"/>
        <w:autoSpaceDN w:val="1"/>
      </w:pPr>
    </w:p>
    <w:p>
      <w:pPr>
        <w:bidi w:val="1"/>
        <w:numPr>
          <w:ilvl w:val="0"/>
          <w:numId w:val="0"/>
        </w:numPr>
        <w:jc w:val="center"/>
        <w:spacing w:lineRule="auto" w:line="275" w:before="0" w:after="200"/>
        <w:ind w:left="0" w:firstLine="0"/>
        <w:rPr>
          <w:rtl/>
          <w:b w:val="1"/>
          <w:color w:val="auto"/>
          <w:position w:val="0"/>
          <w:sz w:val="28"/>
          <w:szCs w:val="28"/>
          <w:rFonts w:ascii="Calibri" w:eastAsia="Calibri" w:hAnsi="Calibri" w:hint="default"/>
        </w:rPr>
        <w:autoSpaceDE w:val="1"/>
        <w:autoSpaceDN w:val="1"/>
      </w:pPr>
    </w:p>
    <w:p>
      <w:pPr>
        <w:bidi w:val="1"/>
        <w:numPr>
          <w:ilvl w:val="0"/>
          <w:numId w:val="0"/>
        </w:numPr>
        <w:jc w:val="center"/>
        <w:spacing w:lineRule="auto" w:line="275" w:before="0" w:after="200"/>
        <w:ind w:left="0" w:firstLine="0"/>
        <w:rPr>
          <w:b w:val="1"/>
          <w:color w:val="auto"/>
          <w:position w:val="0"/>
          <w:sz w:val="32"/>
          <w:szCs w:val="32"/>
          <w:rFonts w:ascii="Calibri" w:eastAsia="Calibri" w:hAnsi="Calibri" w:hint="default"/>
        </w:rPr>
        <w:autoSpaceDE w:val="1"/>
        <w:autoSpaceDN w:val="1"/>
      </w:pPr>
      <w:r>
        <w:rPr>
          <w:rtl/>
          <w:b w:val="1"/>
          <w:color w:val="auto"/>
          <w:position w:val="0"/>
          <w:sz w:val="28"/>
          <w:szCs w:val="28"/>
          <w:rFonts w:ascii="Calibri" w:eastAsia="Calibri" w:hAnsi="Calibri" w:hint="default"/>
        </w:rPr>
        <w:t xml:space="preserve">المبحث الرابع : </w:t>
      </w:r>
      <w:r>
        <w:rPr>
          <w:rtl/>
          <w:b w:val="1"/>
          <w:color w:val="auto"/>
          <w:position w:val="0"/>
          <w:sz w:val="32"/>
          <w:szCs w:val="32"/>
          <w:rFonts w:ascii="Calibri" w:eastAsia="Calibri" w:hAnsi="Calibri" w:hint="default"/>
        </w:rPr>
        <w:t xml:space="preserve">التزامات وحقوق الموفق</w:t>
      </w:r>
    </w:p>
    <w:p>
      <w:pPr>
        <w:pStyle w:val="PO26"/>
        <w:bidi w:val="0"/>
        <w:numPr>
          <w:ilvl w:val="0"/>
          <w:numId w:val="10"/>
        </w:numPr>
        <w:jc w:val="both"/>
        <w:spacing w:lineRule="auto" w:line="275" w:before="0" w:after="200"/>
        <w:contextualSpacing w:val="1"/>
        <w:ind w:left="1440" w:right="0" w:hanging="360"/>
        <w:rPr>
          <w:b w:val="1"/>
          <w:color w:val="auto"/>
          <w:position w:val="0"/>
          <w:sz w:val="28"/>
          <w:szCs w:val="28"/>
          <w:rFonts w:ascii="Calibri" w:eastAsia="Calibri" w:hAnsi="Calibri" w:hint="default"/>
        </w:rPr>
        <w:autoSpaceDE w:val="1"/>
        <w:autoSpaceDN w:val="1"/>
      </w:pPr>
      <w:r>
        <w:rPr>
          <w:rtl/>
          <w:b w:val="1"/>
          <w:color w:val="auto"/>
          <w:position w:val="0"/>
          <w:sz w:val="28"/>
          <w:szCs w:val="28"/>
          <w:rFonts w:ascii="Calibri" w:eastAsia="Calibri" w:hAnsi="Calibri" w:hint="default"/>
        </w:rPr>
        <w:t xml:space="preserve">التزامات الموفق</w:t>
      </w:r>
      <w:r>
        <w:rPr>
          <w:b w:val="1"/>
          <w:color w:val="auto"/>
          <w:position w:val="0"/>
          <w:sz w:val="28"/>
          <w:szCs w:val="28"/>
          <w:rFonts w:ascii="Calibri" w:eastAsia="Calibri" w:hAnsi="Calibri" w:hint="default"/>
        </w:rPr>
        <w:t xml:space="preserve">                                             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rStyle w:val="PO20"/>
          <w:b w:val="0"/>
          <w:color w:val="auto"/>
          <w:position w:val="0"/>
          <w:sz w:val="28"/>
          <w:szCs w:val="28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b w:val="1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أولا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 : الكشف عن الظروف والوقائع التي من شأنها إثارة شكوك حول حياده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واستقلاله  فلابد أن يقوم الموفق بشرح وإدلاء كل الأمور، أو الظروف، أو الوقائع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التي ربما تثير الشكوك حول حياديته واستقلاله عند قبوله للتوفيق -سواء لفظا أو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كتابة- ويجب أن يبين ويظهر حياده منذ موافقته لمهمة التوفيق ويستمر عليها حتى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صدور التوصية، ويتم ذلك عن طريق أن يكتب تقريرا عن علاقته، ومصالحه،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واهتماماته، وأعماله الحالية والسابقة والقادمة المتعلقة بموضوع نزاع التوفيق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وأطرافه، وأقاربهم، ويجب على الموفق البوح عن أسباب رده عن مهمة التوفيق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لطرفي النزاع، ولا يباشر مهمته إلا بموافقة جميع أطراف النزاع وعدم اعتراض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أحدهم عليه في الوقت المحدد حتى يحاطوا علما بتلك الظروف والوقائع</w:t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(</w:t>
      </w:r>
      <w:r>
        <w:rPr>
          <w:rtl/>
          <w:rStyle w:val="PO154"/>
          <w:vertAlign w:val="subscript"/>
          <w:color w:val="auto"/>
          <w:position w:val="0"/>
          <w:sz w:val="28"/>
          <w:szCs w:val="28"/>
          <w:rFonts w:ascii="Traditional Arabic" w:eastAsia="Traditional Arabic" w:hAnsi="Traditional Arabic" w:hint="default"/>
        </w:rPr>
        <w:footnoteReference w:id="22"/>
      </w:r>
      <w:r>
        <w:rPr>
          <w:rtl/>
          <w:vertAlign w:val="subscript"/>
          <w:color w:val="auto"/>
          <w:position w:val="0"/>
          <w:sz w:val="28"/>
          <w:szCs w:val="28"/>
          <w:rFonts w:ascii="Traditional Arabic" w:eastAsia="Traditional Arabic" w:hAnsi="Traditional Arabic" w:hint="default"/>
        </w:rPr>
        <w:t>)</w:t>
      </w:r>
      <w:r>
        <w:rPr>
          <w:rtl/>
          <w:color w:val="auto"/>
          <w:position w:val="0"/>
          <w:sz w:val="28"/>
          <w:szCs w:val="28"/>
          <w:rFonts w:ascii="Traditional Arabic" w:eastAsia="Traditional Arabic" w:hAnsi="Traditional Arabic" w:hint="default"/>
        </w:rPr>
        <w:t>.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rStyle w:val="PO20"/>
          <w:b w:val="1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ثانيا</w:t>
      </w:r>
      <w:r>
        <w:rPr>
          <w:rtl/>
          <w:rStyle w:val="PO20"/>
          <w:b w:val="0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 :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أداء المهمة بنزاهة وعدالة , إن دور الموفق ما هو إلا دور إرشادي لطرفي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النزاع عن طريق تقديم دعوة لهما بتقديم إيضاحات حول مشكلة أو نزاع نشأ بينهما،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وبدون الحلول المقترحة للنزاع فهنا يجب أن يكون الموفق ملتزما بأداء مهمته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بنزاهة، وعدالة، وعدم الانحياز لأحد طرفي النزاع أو ضده، ولا يصح مع نزاهة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وعدالة الموفق استغلال الموفق لعدم خبرة أحد طرفي النزاع أو محاميه من خلال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حرمانه من الاطلاع على مستندات خصمه وارتكاب غش، أو تدليس، أو غدر، أو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خطأ مهني جسيم بسوء نية بقصد الإضرار بأحد طرفي النزاع، أو لتحقيق مصلحة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خاصة بالموفق، أو وصف مستند على غير حقيقته أو قيام الموفق بتصرف معين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يضر بأحد طرفي النزاع نتيجة رشوة من الطرف الآخر، أو انحراف الموفق عن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الوقائع أو الأقوال أو المستندات أو حقائق عملية التوفيق، أو سوء نية الموفق وغشه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تجاه طرفي النزاع</w:t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(</w:t>
      </w:r>
      <w:r>
        <w:rPr>
          <w:rtl/>
          <w:rStyle w:val="PO154"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footnoteReference w:id="23"/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)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.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b w:val="1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ثالثا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 : احترام مبدأ سرية التوفيق , يقع على عاتق الموفق أحد أهم الالتزامات، وهي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المحافظة على الأسرار المهنية التي في المهمة التي تعهد على القيام بها، ويجب عليه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احترام مبدأ سرية التوفيق، وإلا وقع تحت طائلة المساءلة القانونية، فجلسات التوفيق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تكون سرية، ولا يجوز حضور أحد ممن ليس له علاقة بالنزاع مالم يتفق طرفا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النزاع على غير ذلك استنادا إلى خصوصية منازعة التوفيق، فعملية التوفيق تكون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سرية إلا على أطراف التوفيق وممثليهم  بخلاف القضاء، فالأصل فيه العلانية,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ويشمل نطاق الحظر على الموفق: عدم إفشاء أسرار إجراءات التوفيق، والجلسات،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وتسريب المعلومات، والوثائق، والأقوال والأفعال والأدلة الخاصة بعملية التوفيق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والاستفادة بالمعلومات ماديا أو معنويا، وإطلاع الغير على المستندات، أو الإدلاء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بشهادة أمام القضاء عن مهمة الوساطة، أو إفشاء المعلومات إلى وسائل الإعلام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للتربح من ورائها، أو نشر إجراءات التوفيق، ولا يحق للموفق العمل كمستشار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قانوني لأحد طرفي النزاع، أو كمحكم، ضمانا لسرية التوفيق, ويرجع السبب في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وجوب التزام الموفق بسرية عملية التوفيق إلى أنه يتأمل الطرفان فى توطيد ثقتهما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في التوفيق كوسيلة بديلة لفض المنازعات لعدم إثارة أو خروج معلومات وأدلة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التوفيق أثناء متابعة إجراءات الخصومة القضائية، نظرا لاستقلال إجراءات التوفيق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عن الإجراءات القضائية</w:t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(</w:t>
      </w:r>
      <w:r>
        <w:rPr>
          <w:rtl/>
          <w:rStyle w:val="PO154"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footnoteReference w:id="24"/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)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.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</w:p>
    <w:p>
      <w:pPr>
        <w:pStyle w:val="PO26"/>
        <w:bidi w:val="0"/>
        <w:numPr>
          <w:ilvl w:val="0"/>
          <w:numId w:val="3"/>
        </w:numPr>
        <w:jc w:val="right"/>
        <w:spacing w:lineRule="auto" w:line="275" w:before="0" w:after="200"/>
        <w:contextualSpacing w:val="1"/>
        <w:ind w:left="1440" w:right="0" w:hanging="360"/>
        <w:rPr>
          <w:rStyle w:val="PO20"/>
          <w:b w:val="1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rStyle w:val="PO20"/>
          <w:b w:val="1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حقوق الموفق 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b w:val="1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اولا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 : الحق في قبول أو رفض مهمة التوفيق,إن الطابع الأساسي الذي تقوم عليه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التوفيق هي الإرادة الحرة لطرفي النزاع والموفق عند إبرام عقد التوفيق بينهما، ومن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هذا المنطلق فإن الموفق له كامل الحرية في إصدار موافقته على قبول التوفيق أو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رفضها، ولا يستطيع أحد غصب طرف من طرفي النزاع على الموافقة على تعيين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موفق ما لا يرغب به الآخر، كذلك الحال بالنسبة للموفق، فلا يستطيع أحد إجباره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على مهمة التوفيق مالم يرغب بتولي المهمة، فهو حق مطلق غير مقيد للموفق, ولكن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متى قبل الموفق القيام بمهمة التوفيق فإنه يصدر موافقته وقبوله بشكل صريح، أو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ضمني، شفويا، أو كتابيا، ويجب أن يكون قبول الموفق لمهمة التوفيق نهائيا ومنجزا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ودون أي تحفظات، وغير معلق على شرط أو مضافا إلى أجل, وإذا امتنع الموفق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عن قبول التوفيق فإنه غير ملزم بإيضاح الأسباب، فهي تقدير شخصي للموفق إذا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أراد الإفصاح عنها أو كتمها، والرفض أيضا قد يكون مكتوبه أو شفويا، صريحا، أو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ضمنيا، ولا يمكن اعتبار الموفق مرتكبا لجريمة إنكار العدالة، - لأنه ليس قاضيا –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إلا إذا امتنع عن القيام بمهمة التوفيق بعد قبولها، لأنه سيكون محلا للمساءلة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القانونية مالم يكن لديه عذر مقبول يبرر امتناعه</w:t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(</w:t>
      </w:r>
      <w:r>
        <w:rPr>
          <w:rtl/>
          <w:rStyle w:val="PO154"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footnoteReference w:id="25"/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)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.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b w:val="1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ثانيا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 : حق الموفق في الأتعاب والمصاريف والتعويض,إن أحد الحقوق المكفولة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للموفق بمقتضى العقد المبرم بينه وبين طرفي النزاع حقه في المصاريف والأتعاب،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مالم قد يكون قد تنازل عنها، والمقصود هنا بأتعاب الموفق المبالغ المالية التي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يحصل عليها الموفق كمقابل للعمل والجهد الذي يقدمه أثناء عملية التوفيق، ويقصد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بها المبالغ المالية التي تكبدها الموفق في التنقلات إلى مكان التوفيق، ومصاريف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الإقامة، ونفقات المعاونين له في عملية التوفيق، ويقصد بالتعويض المبالغ المالية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التي يستحقها الموفق مقابل خطأ طرفي النزاع أو أحدهما الذي ترتب عليه ضرر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مادى أو أدبي طبقا للقواعد العامة في المسئولية المدنية وكما –أيضا- لو قام طرفا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النزاع أو أحدهما برد أو عزل الموفق دون مبرر قانوني لمجرد التشهير به وإساءة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سمعته، وكان ذلك سوء نية, ويتم دفع مصاريف الموفق بالإتفاق بينه وبين طرفي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النزاع وتحديد الطرف الذي سيتحمل دفعها كلها أو بعضها وقد يكون الدفع بين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الطرفين بالتساوي، وفي حال عدم وجود اتفاق بشأنها يجوز للموفق أن يقوم بتقديرها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 وتحديد كيفية دفعها ومن سيتحملها في التوصية، ويستحق الموفق أتعابه بمقدار ما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بذله في عملية التوفيق من تعب ومجهود في معاينة ودراسة وفحص ملف عملية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التوفيقولكن قد يسأل الموفق إذا انقضتمهمة التوفيق بسبب إهمال الموفق، أو خطئه،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أو سوء نيته، لأنه يكون قد تسبب في ضياع وقت وجهد طرفي النزاع دون جدوى،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ربما أدى إلى اتساع الفجوة والخلاف بينهما ويكون محلا للمساءلة القانونية عن ذلك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الخطأ والإهمال</w:t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(</w:t>
      </w:r>
      <w:r>
        <w:rPr>
          <w:rtl/>
          <w:rStyle w:val="PO154"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footnoteReference w:id="26"/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)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.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b w:val="1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ثالثا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 : احترام الموفق وتقديم المعونة له ومساعدته على فض النزاع فمن حق الموفق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على طرفي النزاع -عندما يوافق على قبول مهمة التوفيق- احترامه وتوقيره وعدم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الإساءة إليه، أو إتهامه بما ليس فيه مما قد يخدش عدالته، وأمانته، ونزاهته،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ومخاطبته بشكل يليق به كموفق، ومعاملته بحسن نية فهو ليس خصما لأحد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الطرفين، واتباعه فيما يقرره من تعليمات لحل النزاع بطريقة سليمة وسريعة،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ومساعدته بتقديم الإيضاحات والمعلومات الضرورية، والأدلة المفيدة لإظهار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الحقيقة والعدالة, وحق الموفق في عرض النزاع عليه هو حق شخصي له، وبالتالي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لا يجوز لطرفي النزاع عرض نزاعهما على غيره، وإلا كان إخلالا بالتزاماتهما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تجاه الموفق بعرض النزاع عليه، وكانا محلا للمساءلة القانونية بالتعويض عن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الأضرار التي أصابت الموفق – خاصة إذا كان قد بدأ فعلا في تنفيذ مهمة التوفيق –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ماديا ومعنويا بالإساءة إلى المركز الأدبي له</w:t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(</w:t>
      </w:r>
      <w:r>
        <w:rPr>
          <w:rtl/>
          <w:rStyle w:val="PO154"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footnoteReference w:id="27"/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)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.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</w:p>
    <w:p>
      <w:pPr>
        <w:bidi w:val="1"/>
        <w:numPr>
          <w:ilvl w:val="0"/>
          <w:numId w:val="0"/>
        </w:numPr>
        <w:jc w:val="center"/>
        <w:spacing w:lineRule="auto" w:line="275" w:before="0" w:after="200"/>
        <w:ind w:left="0" w:firstLine="0"/>
        <w:rPr>
          <w:rtl/>
          <w:b w:val="1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b w:val="1"/>
          <w:color w:val="auto"/>
          <w:position w:val="0"/>
          <w:sz w:val="32"/>
          <w:szCs w:val="32"/>
          <w:rFonts w:ascii="Calibri" w:eastAsia="Calibri" w:hAnsi="Calibri" w:hint="default"/>
        </w:rPr>
        <w:t xml:space="preserve">المبحث الخامس :سير عملية التوفيق</w:t>
      </w:r>
    </w:p>
    <w:p>
      <w:pPr>
        <w:pStyle w:val="PO26"/>
        <w:bidi w:val="0"/>
        <w:numPr>
          <w:ilvl w:val="0"/>
          <w:numId w:val="3"/>
        </w:numPr>
        <w:jc w:val="right"/>
        <w:spacing w:lineRule="auto" w:line="275" w:before="0" w:after="200"/>
        <w:contextualSpacing w:val="1"/>
        <w:ind w:left="1440" w:right="0" w:hanging="360"/>
        <w:rPr>
          <w:b w:val="1"/>
          <w:color w:val="auto"/>
          <w:position w:val="0"/>
          <w:sz w:val="32"/>
          <w:szCs w:val="32"/>
          <w:rFonts w:ascii="Calibri" w:eastAsia="Calibri" w:hAnsi="Calibri" w:hint="default"/>
        </w:rPr>
        <w:autoSpaceDE w:val="1"/>
        <w:autoSpaceDN w:val="1"/>
      </w:pPr>
      <w:r>
        <w:rPr>
          <w:rtl/>
          <w:b w:val="1"/>
          <w:color w:val="auto"/>
          <w:position w:val="0"/>
          <w:sz w:val="32"/>
          <w:szCs w:val="32"/>
          <w:rFonts w:ascii="Calibri" w:eastAsia="Calibri" w:hAnsi="Calibri" w:hint="default"/>
        </w:rPr>
        <w:t xml:space="preserve">ابداء الرغبة في التوفيق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إن أساس عملية التوفيق هي إرادة ورغبة طرفي النزاع التوصل إلى تسوية ودية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غير ملزمة، لكي تذوب الخلافات بينهما وتقريب وجهات النظر المتعارضة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والوصول إلى حل مقنع ومرض للطرفين بمساعدة طرف ثالث محايد يكون محل ثقة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لهما, و الأصل العام في المنازعات أو الخصومات هو لجوء الشخص المتضرر إلى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القضاء أو التحكيم لتسوية الخلافات الناشئة, ولكن قد يتغير الوضع عندما يلتمس هذا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الشخص المتضرر أن هناك محاولة جادة للصلح أو التوفيق أو الوساطة قد تكون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أفضل من الذهاب للمحاكم, أو لتفادي حالة الخصوم, وبهذا يبدي الشخص المتضرر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رغبة صادقة في المصالحة </w:t>
      </w:r>
      <w:r>
        <w:rPr>
          <w:rtl/>
          <w:vertAlign w:val="super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(</w:t>
      </w:r>
      <w:r>
        <w:rPr>
          <w:rtl/>
          <w:rStyle w:val="PO154"/>
          <w:vertAlign w:val="super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footnoteReference w:id="28"/>
      </w:r>
      <w:r>
        <w:rPr>
          <w:rtl/>
          <w:vertAlign w:val="super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)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.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نص على ذلك صراحة قانون الاونيسترال النموذجي للتوفيق التجاري الدولي عام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2002المادة (1) الفقرة (6) يطبق هذا القانون ايضا على التوفيق التجاري عندما يتفق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الطرفان على ان التوفيق دولى او عندما يتفقان على قابلية انطباق هذا القانون </w:t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(</w:t>
      </w:r>
      <w:r>
        <w:rPr>
          <w:rtl/>
          <w:rStyle w:val="PO154"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footnoteReference w:id="29"/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)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.</w:t>
      </w:r>
    </w:p>
    <w:p>
      <w:pPr>
        <w:pStyle w:val="PO26"/>
        <w:bidi w:val="0"/>
        <w:numPr>
          <w:ilvl w:val="0"/>
          <w:numId w:val="3"/>
        </w:numPr>
        <w:jc w:val="both"/>
        <w:spacing w:lineRule="auto" w:line="275" w:before="0" w:after="200"/>
        <w:contextualSpacing w:val="1"/>
        <w:ind w:left="1440" w:right="0" w:hanging="360"/>
        <w:rPr>
          <w:b w:val="1"/>
          <w:color w:val="auto"/>
          <w:position w:val="0"/>
          <w:sz w:val="32"/>
          <w:szCs w:val="32"/>
          <w:rFonts w:ascii="Calibri" w:eastAsia="Calibri" w:hAnsi="Calibri" w:hint="default"/>
        </w:rPr>
        <w:autoSpaceDE w:val="1"/>
        <w:autoSpaceDN w:val="1"/>
      </w:pPr>
      <w:r>
        <w:rPr>
          <w:rtl/>
          <w:b w:val="1"/>
          <w:color w:val="auto"/>
          <w:position w:val="0"/>
          <w:sz w:val="32"/>
          <w:szCs w:val="32"/>
          <w:rFonts w:ascii="Calibri" w:eastAsia="Calibri" w:hAnsi="Calibri" w:hint="default"/>
        </w:rPr>
        <w:t xml:space="preserve">إجراءات ومراحل التوفيق 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وتكون أول مراحل الاجراءات أرسال طلب  الأتفاق على اللجوء إلى التوفيق من قبل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أحد الطرفين وإذا لم يرد عليه الطرف الأخر في خلال المدة المحددة في طلب الدعوة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فأن ذلك يعتبر رفضاً  وذلك مانصت عليه المادة (4) من قانون الأونيسترال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النموذجي للتوفيق التجاري بأنه : " (1) تبدأ إجراءات التوفيق , المتعلقة بنزاع كان قد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نشأ , في اليوم الذي يتفق فيه طرفا ذلك النزاع على المشاركة  في إجراءات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توفيق .(2) إذا لم يتلق الطرف الذى دعا طرفاً اخر الى التوفيق قبولا للدعوة في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غضون ثلاثين يوماً من اليوم الذي ارسلت فيه الدعوة , او في غضون مدة اخرى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محددة في الدعوة , جاز للطرف ان يعتبر ذلك رفضاً للدعوة إلى التوفيق " </w:t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(</w:t>
      </w:r>
      <w:r>
        <w:rPr>
          <w:rtl/>
          <w:rStyle w:val="PO154"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footnoteReference w:id="30"/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)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. 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    أول جلسة يجتمع فيها الموفق أو هيئة التوفيق بأطراف النزاع للتباحث حول سير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عملية حل النزاع , ومن هنا يجئ التزام الموفق بدعوة الأطراف إلى جلسة مشتركة,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وتوجه الدعوه, بالطريقة التي يحددها الموفق بالاتفاق مع هؤلاء بمكاتبة تسلم إلى كل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طرف شخصيا، أو في مقر عمله , أو في محل إقامته, أو في عنوانه البريدي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المعروف للطرفين، أو في مشارطة التوفيق، أو في الوثيقة المنظمة للعلاقة التي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يتناولها التوفيق</w:t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(</w:t>
      </w:r>
      <w:r>
        <w:rPr>
          <w:rtl/>
          <w:rStyle w:val="PO154"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footnoteReference w:id="31"/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)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 .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   ثم يأتي بعد هذا التحديد دور الموفق، حيث يلعب دورا أساسيا في التقريب بين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وجهات النظر المتباينة للأطراف، وصولا بهم إلى نقطة التقاء تتحقق عندها أمانيهم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ورغباتهم بعيدا عن مشقة اللجوء إلى التحكيم أو القضاء، فعادة ما تمر عملية التوفيق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بمراحل عدة حتى يمكن الوصول إلى حل يرتضيه الطرفان</w:t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(</w:t>
      </w:r>
      <w:r>
        <w:rPr>
          <w:rtl/>
          <w:rStyle w:val="PO154"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footnoteReference w:id="32"/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)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.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  وإننا نرى أن للطرفين حرية اختيار سير الإجراءات، والطريقة التي يجرى بها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التوفيق، وذلك وفقا للمادة (6) قانون الأونيسترال النموذجي للتوفيق التجاري في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المادة الفقرة (1) بأنه : " للطرفين الحرية في أن يتفقا, بالرجوع إلى مجموعة قواعد،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أو بطريقة أخرى, على الطريقة التي التي يجرى بها التوفيق </w:t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(</w:t>
      </w:r>
      <w:r>
        <w:rPr>
          <w:rtl/>
          <w:rStyle w:val="PO154"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footnoteReference w:id="33"/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)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 " , في حال عدم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اتفاق الطرفين على الطريقة التي يجرى بها التوفيق  وفقا للمادة (6) من قانون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الأونيسترال النموذجي للتوفيق التجاري الدولي الفقرة (2) بأنه : " في حال عدم اتفاق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على الطريقة التي يجرى بها التوفيق, يجوز للموفق تسيير إجراءات التوفيق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بالطريقة التي يراها مناسبة, مع مراعاة ظروف القضية، وأي رغبات قد يبديها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الطرفان، والحاجة إلى تسوية سريعة للنزاع </w:t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(</w:t>
      </w:r>
      <w:r>
        <w:rPr>
          <w:rtl/>
          <w:rStyle w:val="PO154"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footnoteReference w:id="34"/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)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".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وعادة تبدأ بعملية الإعداد والتحضير، وبعد ذلك يعقبها التقديم والعرض، ثم بيان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المشكلة وتوضيحها، وبعد ذلك يتم طرح وتقديم البدائل التي يمكن الاختيار من بينها،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وأخيرا الاتفاق على الحل الذي يشبع رغبات الأطراف ويحقق أمانيهم</w:t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(</w:t>
      </w:r>
      <w:r>
        <w:rPr>
          <w:rtl/>
          <w:rStyle w:val="PO154"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footnoteReference w:id="35"/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)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. عادة في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الجلسة المشتركة توضع الخريطة للطريق الإجرائي الذي ستسير عليها عملية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التوفيق , لاسيما تحديد كل مايتعلق بالآتي :((القواعد الإجرائية التي يجب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اتباعها.,مكان جلسات التوفيق. ,لغة الإجراءات.,موعد تقديم المستندات.,الاستعانة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بالخبراء والشهود .,المدة التي يجب أن تنتهي عملية التوفيق خلالها .. الخ.)) , وفي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كل الأحوال للطرفين الحرية في أن يتفقا بالرجوع إلى مجموعة قواعد، أو بطريقة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أخرى على الطريقة التي يجري بها التوفيق، وفي حالة عدم الاتفاق يجوز للموفق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تسيير إجراءات التوفيق بالطريقة التي يراها مناسبة مع مراعاة ظروف النزاع، وأية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رغبات قد يبديها الطرفان والحاجة إلى تسوية سريعة للنزاع</w:t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(</w:t>
      </w:r>
      <w:r>
        <w:rPr>
          <w:rtl/>
          <w:rStyle w:val="PO154"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footnoteReference w:id="36"/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)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.ويستطيع الموفق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مقابلة الطرفين معاً أو يجتمع مع كل طرف لوحده تأكيد ذلك في المادة (7) من قانون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الأونيسترال النموذجي للتوفيق التجاري التي تنص بأنه : " يجوز للموفق الاجتماع أو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الاتصال بالطرفين معاً , او بكل منهما على حدة " </w:t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(</w:t>
      </w:r>
      <w:r>
        <w:rPr>
          <w:rtl/>
          <w:rStyle w:val="PO154"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footnoteReference w:id="37"/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)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 .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وعند صدور التوصية في الجلسة الأخيرة من التوفيق سواء كان الحضور طرفي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النزاع أو ممثليهما، فإن الموفق يقوم بكتابة تلك التوصية في مسودة وإعطاء كل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طرف نسخة منها، فإذا قبلت تلك التوصيات، واتفق عليها طرفا النزاع يقوم بتحرير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محضر يكتب فيه مضمون التوصية الصادرة، ويقوم الأطراف بالتوقيع عليها ومن ثم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يصبح اتفاقا رسميا ملزما للطرفين </w:t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(</w:t>
      </w:r>
      <w:r>
        <w:rPr>
          <w:rtl/>
          <w:rStyle w:val="PO154"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footnoteReference w:id="38"/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)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.</w:t>
      </w:r>
    </w:p>
    <w:p>
      <w:pPr>
        <w:pStyle w:val="PO26"/>
        <w:bidi w:val="0"/>
        <w:numPr>
          <w:ilvl w:val="0"/>
          <w:numId w:val="3"/>
        </w:numPr>
        <w:jc w:val="both"/>
        <w:spacing w:lineRule="auto" w:line="275" w:before="0" w:after="200"/>
        <w:contextualSpacing w:val="1"/>
        <w:ind w:left="1440" w:right="0" w:hanging="360"/>
        <w:rPr>
          <w:b w:val="1"/>
          <w:color w:val="auto"/>
          <w:position w:val="0"/>
          <w:sz w:val="32"/>
          <w:szCs w:val="32"/>
          <w:rFonts w:ascii="Calibri" w:eastAsia="Calibri" w:hAnsi="Calibri" w:hint="default"/>
        </w:rPr>
        <w:autoSpaceDE w:val="1"/>
        <w:autoSpaceDN w:val="1"/>
      </w:pPr>
      <w:r>
        <w:rPr>
          <w:rtl/>
          <w:b w:val="1"/>
          <w:color w:val="auto"/>
          <w:position w:val="0"/>
          <w:sz w:val="32"/>
          <w:szCs w:val="32"/>
          <w:rFonts w:ascii="Calibri" w:eastAsia="Calibri" w:hAnsi="Calibri" w:hint="default"/>
        </w:rPr>
        <w:t xml:space="preserve">انتهاء عملية التوفيق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في الواقع إن سير عملية التسوية الودية بنجاح يعتمد كما سبق أن قررنا على روح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الود والمحاولة الصادقة من الأطراف للوصول إلى حل ودي ينهي هذا الخلاف،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ويزيل ما قد ترسب في نفوس أحدهم من مشاعر البغض وروح العداء، لهذا يمثل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فقدان هذه الروح السبب الرئيسي في فشل المحاولة، وتقليلا من الدور الذي تلعبه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السبل الودية في تسوية المنازعات الدولية، وأيا كان مصير المحاولة فإنه يمكن القول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بأنها تنتهي في أحوال ثلاثة: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b w:val="1"/>
          <w:color w:val="auto"/>
          <w:position w:val="0"/>
          <w:sz w:val="32"/>
          <w:szCs w:val="32"/>
          <w:u w:val="single"/>
          <w:rFonts w:ascii="Traditional Arabic" w:eastAsia="Traditional Arabic" w:hAnsi="Traditional Arabic" w:hint="default"/>
        </w:rPr>
        <w:t>أولهما</w:t>
      </w:r>
      <w:r>
        <w:rPr>
          <w:rtl/>
          <w:color w:val="auto"/>
          <w:position w:val="0"/>
          <w:sz w:val="32"/>
          <w:szCs w:val="32"/>
          <w:u w:val="single"/>
          <w:rFonts w:ascii="Traditional Arabic" w:eastAsia="Traditional Arabic" w:hAnsi="Traditional Arabic" w:hint="default"/>
        </w:rPr>
        <w:t>: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 توقيع اتفاق بين الأطراف , وبمجرد اتفاق الأطراف على قبول الحل الذي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اقترحه الموفق يصبح هذا الاتفاق ملزما واجبا للتنفيذ، وتنتهي في تاريخ اتفاق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الطرفين على التسوية، وذكرت المادة (11) قانون الأونيسترال النموذجي للتوفيق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التجاري الفقرة (أ) بأنه : " تنتهي إجراءات التوفيق بإبرام الطرفين اتفاق تسوية , في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تاريخ إبرام الاتفاق </w:t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(</w:t>
      </w:r>
      <w:r>
        <w:rPr>
          <w:rtl/>
          <w:rStyle w:val="PO154"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footnoteReference w:id="39"/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)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 ".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b w:val="1"/>
          <w:color w:val="auto"/>
          <w:position w:val="0"/>
          <w:sz w:val="32"/>
          <w:szCs w:val="32"/>
          <w:u w:val="single"/>
          <w:rFonts w:ascii="Traditional Arabic" w:eastAsia="Traditional Arabic" w:hAnsi="Traditional Arabic" w:hint="default"/>
        </w:rPr>
        <w:t>ثانيها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:  إصدار الموفق قراراً بفشل محاولة التوفيق، فعندما يتأكد للموفق أنه من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الصعب الوصول إلى ترضية ودية للنزاع المثار بين الأطراف، فإنه من الضروري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عدم الاستمرار في تلك المحاولة وإضاعة الوقت طالما أن النتيجة أصبحت معروفة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ومؤكدة, ولاشك أنه توجد العديد من الأسباب والدلائل التي تدفع الطرف المحايد إلى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إصدار هذا القرار، إلا أنه يبرز من بينها عدم تعاون الأطراف، وعدم وإظهار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الرغبة الصادقة في التوصل إلى تسوية ودية للنزاع، فالالتزام بالتعاون يعد أحد أهم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العوامل التي تساعد على نجاح محاولة المصالحة، ويبدو هذا الالتزام بوضوح عندما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يقوم كل طرف بتحديد أغراضه وأهدافه من تلك المحاولة, ويؤكد ذلك المادة (11)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من قانون الأونيسترال النموذجي للتوفيق التجاري الفقرة (ب) بأنه : " بإصدار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الموفق, بعد التشاور مع الطرفين , اعلانا يبين أنه لايوجد مايسوغ القيام بمزيد من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جهود التوفيق , في تاريخ صدور الإعلان </w:t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(</w:t>
      </w:r>
      <w:r>
        <w:rPr>
          <w:rtl/>
          <w:rStyle w:val="PO154"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footnoteReference w:id="40"/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)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 ".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b w:val="1"/>
          <w:color w:val="auto"/>
          <w:position w:val="0"/>
          <w:sz w:val="32"/>
          <w:szCs w:val="32"/>
          <w:u w:val="single"/>
          <w:rFonts w:ascii="Traditional Arabic" w:eastAsia="Traditional Arabic" w:hAnsi="Traditional Arabic" w:hint="default"/>
        </w:rPr>
        <w:t>ثالثها</w:t>
      </w:r>
      <w:r>
        <w:rPr>
          <w:rtl/>
          <w:color w:val="auto"/>
          <w:position w:val="0"/>
          <w:sz w:val="32"/>
          <w:szCs w:val="32"/>
          <w:u w:val="single"/>
          <w:rFonts w:ascii="Traditional Arabic" w:eastAsia="Traditional Arabic" w:hAnsi="Traditional Arabic" w:hint="default"/>
        </w:rPr>
        <w:t>: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  إخبار الطرف المحايد من قبل الأطراف، أو أحدهم في أي مرحلة من مراحل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التسوية بنيته في عدم مواصلة المحاولة، فإعلام الموفق بهذه الرغبة يقضي على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الأمل في إزالة أسباب الخلاف وإعادة العلاقات بين الأطراف إلى مجراها الطبيعي ,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ويؤكد ذلك المادة (11) من قانون الأونيسترال النموذجي للتوفيق التجاري الفقرة (ب)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و (ج) بأنه : " تنهى إجراءات التوفيق : (ج) بإصدار الطرفين إعلاناً موجهاً إلى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الموفق يفيد بإنهاء إجراءات التوفيق , في تاريخ صدور الإعلان , او (د) بإصدار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أحد الطرفين إعلانا موجها غلى الطرف الاخر او الاطراف الاخرى وإلى الموفق ,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في حال تعيينه , يفيد بإنهاء إجراءات التوفيق , في تاريخ صدور الاعلان</w:t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 (</w:t>
      </w:r>
      <w:r>
        <w:rPr>
          <w:rtl/>
          <w:rStyle w:val="PO154"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footnoteReference w:id="41"/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)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 ".</w:t>
      </w:r>
    </w:p>
    <w:p>
      <w:pPr>
        <w:pStyle w:val="PO26"/>
        <w:bidi w:val="0"/>
        <w:numPr>
          <w:ilvl w:val="0"/>
          <w:numId w:val="3"/>
        </w:numPr>
        <w:jc w:val="both"/>
        <w:spacing w:lineRule="auto" w:line="275" w:before="0" w:after="200"/>
        <w:contextualSpacing w:val="1"/>
        <w:ind w:left="1440" w:right="0" w:hanging="360"/>
        <w:rPr>
          <w:color w:val="auto"/>
          <w:position w:val="0"/>
          <w:sz w:val="32"/>
          <w:szCs w:val="32"/>
          <w:rFonts w:ascii="Calibri" w:eastAsia="Calibri" w:hAnsi="Calibri" w:hint="default"/>
        </w:rPr>
        <w:autoSpaceDE w:val="1"/>
        <w:autoSpaceDN w:val="1"/>
      </w:pPr>
      <w:r>
        <w:rPr>
          <w:rtl/>
          <w:b w:val="1"/>
          <w:color w:val="auto"/>
          <w:position w:val="0"/>
          <w:sz w:val="32"/>
          <w:szCs w:val="32"/>
          <w:rFonts w:ascii="Calibri" w:eastAsia="Calibri" w:hAnsi="Calibri" w:hint="default"/>
        </w:rPr>
        <w:t xml:space="preserve"> القوة الإلزامية للتوصية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Calibri" w:eastAsia="Calibri" w:hAnsi="Calibri" w:hint="default"/>
        </w:rPr>
        <w:autoSpaceDE w:val="1"/>
        <w:autoSpaceDN w:val="1"/>
      </w:pP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إن طبيعة توصية التوفيق لا تتمتع بأية قوة إلزامية في حالة عدم قبولها، ويكون أثرها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القانوني معنويا استشاريا لا يتمتع بأية صفة قضائية أو غير قضائية، لأن أساسها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سلطان الإرادة من طرفي النزاع، وهي لا تعد قرارا ولا حكما، ولا تكون لها حجية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الأمر المقضي</w:t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(</w:t>
      </w:r>
      <w:r>
        <w:rPr>
          <w:rtl/>
          <w:rStyle w:val="PO154"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footnoteReference w:id="42"/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)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.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Calibri" w:eastAsia="Calibri" w:hAnsi="Calibri" w:hint="default"/>
        </w:rPr>
        <w:autoSpaceDE w:val="1"/>
        <w:autoSpaceDN w:val="1"/>
      </w:pP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أما في حالة توقيع طرفي النزاع على التوصية وقيام الموفق بتصديقها من القاضي،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فإنها تتمتع بالقوة الملزمة للعقد، ، وعلى ذلك يتأسس التزام طرفي النزاع بالتوصية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وتنفيذها على مبدأ القوة الملزمة للعقد بعد توقيعها من طرفي النزاع وتصديقها من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القاضي المختص</w:t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(</w:t>
      </w:r>
      <w:r>
        <w:rPr>
          <w:rtl/>
          <w:rStyle w:val="PO154"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footnoteReference w:id="43"/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)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.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أما مسألة نفاذ اتفاق التسوية فذكرته المادة (14) من قانون الأونيسترال النموذجي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للتوفيق التجاري بأنه : " إذا أبرم الطرفان اتفاقا يسوي النزاع كان ذلك الاتفاق ملزما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وواجب النفاذ</w:t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(</w:t>
      </w:r>
      <w:r>
        <w:rPr>
          <w:rtl/>
          <w:rStyle w:val="PO154"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footnoteReference w:id="44"/>
      </w:r>
      <w:r>
        <w:rPr>
          <w:rtl/>
          <w:vertAlign w:val="subscript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)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 " .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Calibri" w:eastAsia="Calibri" w:hAnsi="Calibri" w:hint="default"/>
        </w:rPr>
        <w:autoSpaceDE w:val="1"/>
        <w:autoSpaceDN w:val="1"/>
      </w:pP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Calibri" w:eastAsia="Calibri" w:hAnsi="Calibri" w:hint="default"/>
        </w:rPr>
        <w:autoSpaceDE w:val="1"/>
        <w:autoSpaceDN w:val="1"/>
      </w:pP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Calibri" w:eastAsia="Calibri" w:hAnsi="Calibri" w:hint="default"/>
        </w:rPr>
        <w:autoSpaceDE w:val="1"/>
        <w:autoSpaceDN w:val="1"/>
      </w:pP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b w:val="1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b w:val="1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الخاتمة 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b w:val="1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إن التوفيق من الوسائل البديلة في حل المنازعات بين الأطراف وهي فكرة قديمة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عرفتها الشعوب منذ تاريخ ٍ قديم جدا ً, لكن فقهاء القانون الحديث خصوصا في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الولايات المتحدة الأمريكية حولوها إلى فكرة مرنة قابلة للتطوير والتعديل بما يخدم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أطراف النزاع من جهة، ويخدم رفع الضغط عن المحاكم من خلال تقليل الدعاوى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التي يرفعها الناس يوميا إلى القضاة من جة أخري.  هذه الفكرة قائمة على تقليل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التكاليف المالية, السرعة في حل النزاع , والسرية بما يحفظ أسرار الخصوم – وفي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الثلاثين سنة الماضية اهتمت الجامعات الأمريكية بتدريس وتطوير الوسائل البديلة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في حل المنازعات، وأصبحت الولايات المتحدة الأمريكية هي الرائدة في هذا المجال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القانوني .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b w:val="1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  كذلك فإن المهم في استخدام وسيلة التوفيق في حل النزاعات سيرفع عن كاهل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القضاء الكثير من الدعاوى التي يمكن حلها بعيداً عن المحاكم, وبذلك سيوفر الوقت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الكافي للقضاة في تطوير عمل المحاكم من جهة و استخدام الوقت في إصدار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أحكامهم في القضايا المهمة الأخرى من جهة ثانية </w:t>
      </w:r>
      <w:r>
        <w:rPr>
          <w:rtl/>
          <w:color w:val="222222"/>
          <w:position w:val="0"/>
          <w:sz w:val="32"/>
          <w:szCs w:val="32"/>
          <w:rFonts w:ascii="Traditional Arabic" w:eastAsia="Traditional Arabic" w:hAnsi="Traditional Arabic" w:hint="default"/>
        </w:rPr>
        <w:t>و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إن تطوير الوسائل البديلة لتسوية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النزاعات هو أكثر من تطوير فــي الأسلوب، إنه يظهر في الواقع الحاجة إلى تغيير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عميق في النظام القضائي المعاصر، ينقلنا هذا التغيير من القانون المفروض إلى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القانون القابل للمفاوضة، وهذا يعتبر نهاية للدولة صاحبة النفوذ القوي التي تكون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فيها القوانين والأنظمة الوسائل الوحيدة والمفضلة لتسوية النزاعات، فنحن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أصبحنا نعيش في عالم يعطي أهمية كبرى للعقد.</w:t>
      </w:r>
    </w:p>
    <w:p>
      <w:pPr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color w:val="auto"/>
          <w:position w:val="0"/>
          <w:sz w:val="20"/>
          <w:szCs w:val="20"/>
          <w:rFonts w:ascii="Arial" w:eastAsia="Arial" w:hAnsi="Arial" w:hint="default"/>
        </w:rPr>
        <w:wordWrap w:val="off"/>
        <w:autoSpaceDE w:val="1"/>
        <w:autoSpaceDN w:val="1"/>
      </w:pP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b w:val="1"/>
          <w:color w:val="auto"/>
          <w:position w:val="0"/>
          <w:sz w:val="32"/>
          <w:szCs w:val="32"/>
          <w:rFonts w:ascii="Calibri" w:eastAsia="Calibri" w:hAnsi="Calibri" w:hint="default"/>
        </w:rPr>
        <w:autoSpaceDE w:val="1"/>
        <w:autoSpaceDN w:val="1"/>
      </w:pP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b w:val="1"/>
          <w:color w:val="auto"/>
          <w:position w:val="0"/>
          <w:sz w:val="32"/>
          <w:szCs w:val="32"/>
          <w:rFonts w:ascii="Calibri" w:eastAsia="Calibri" w:hAnsi="Calibri" w:hint="default"/>
        </w:rPr>
        <w:autoSpaceDE w:val="1"/>
        <w:autoSpaceDN w:val="1"/>
      </w:pP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b w:val="1"/>
          <w:color w:val="auto"/>
          <w:position w:val="0"/>
          <w:sz w:val="32"/>
          <w:szCs w:val="32"/>
          <w:rFonts w:ascii="Calibri" w:eastAsia="Calibri" w:hAnsi="Calibri" w:hint="default"/>
        </w:rPr>
        <w:autoSpaceDE w:val="1"/>
        <w:autoSpaceDN w:val="1"/>
      </w:pP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b w:val="1"/>
          <w:color w:val="222222"/>
          <w:position w:val="0"/>
          <w:sz w:val="32"/>
          <w:szCs w:val="32"/>
          <w:rFonts w:ascii="Calibri" w:eastAsia="Calibri" w:hAnsi="Calibri" w:hint="default"/>
        </w:rPr>
        <w:autoSpaceDE w:val="1"/>
        <w:autoSpaceDN w:val="1"/>
      </w:pPr>
      <w:r>
        <w:rPr>
          <w:rtl/>
          <w:b w:val="1"/>
          <w:color w:val="222222"/>
          <w:position w:val="0"/>
          <w:sz w:val="32"/>
          <w:szCs w:val="32"/>
          <w:rFonts w:ascii="Calibri" w:eastAsia="Calibri" w:hAnsi="Calibri" w:hint="default"/>
        </w:rPr>
        <w:t xml:space="preserve">التوصيات 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rStyle w:val="PO156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b w:val="1"/>
          <w:color w:val="222222"/>
          <w:position w:val="0"/>
          <w:sz w:val="32"/>
          <w:szCs w:val="32"/>
          <w:rFonts w:ascii="Calibri" w:eastAsia="Calibri" w:hAnsi="Calibri" w:hint="default"/>
        </w:rPr>
        <w:t xml:space="preserve">١/ </w:t>
      </w:r>
      <w:r>
        <w:rPr>
          <w:rtl/>
          <w:rStyle w:val="PO156"/>
          <w:b w:val="0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تعميم وتبسيط إجراءات التوفيق  والوساطة  والإجراءات الودية والتظلم المسبق</w:t>
      </w:r>
      <w:r>
        <w:rPr>
          <w:rStyle w:val="PO156"/>
          <w:b w:val="0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.</w:t>
      </w:r>
      <w:r>
        <w:rPr>
          <w:rtl/>
          <w:rStyle w:val="PO156"/>
          <w:b w:val="0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br/>
      </w:r>
      <w:r>
        <w:rPr>
          <w:rtl/>
          <w:rStyle w:val="PO156"/>
          <w:b w:val="0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٢/ تحديد إجراءات التوفيق و الوساطة وهيئاتها ومنحها سلطات واسعة للنظر في </w:t>
      </w:r>
      <w:r>
        <w:rPr>
          <w:rtl/>
          <w:rStyle w:val="PO156"/>
          <w:b w:val="0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المنازعات التجارية و ايضاً المدنية والإدارية مع توسيع مجالاتهما وموازاة مع ذلك </w:t>
      </w:r>
      <w:r>
        <w:rPr>
          <w:rtl/>
          <w:rStyle w:val="PO156"/>
          <w:b w:val="0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حث المتنازعين على اللجوء إلى هذا الإجراء في جميع مراحل الدعوى</w:t>
      </w:r>
      <w:r>
        <w:rPr>
          <w:rStyle w:val="PO156"/>
          <w:b w:val="0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.</w:t>
      </w:r>
      <w:r>
        <w:rPr>
          <w:rtl/>
          <w:rStyle w:val="PO156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الدعو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rStyle w:val="PO156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٣ / تشجيع اللجوء إلى الوسائل البديلة لحل النزاع  كآلية أساسية لحل النزاعات </w:t>
      </w:r>
      <w:r>
        <w:rPr>
          <w:rtl/>
          <w:rStyle w:val="PO156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التجارية</w:t>
      </w:r>
      <w:r>
        <w:rPr>
          <w:rStyle w:val="PO156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>.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(التوفيق – الوساطة – الصلح – المفاوضة – المساعي الحميدة ).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٤/ توعية المعنيين كالمتقاضين والمحامين والوسطاء  والموفقين بفوائد الحلول </w:t>
      </w: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البديلة، وتزويدهم بالمعلومات والإجراءات المطلوب اللجوء إليها.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b w:val="1"/>
          <w:color w:val="auto"/>
          <w:position w:val="0"/>
          <w:sz w:val="32"/>
          <w:szCs w:val="32"/>
          <w:rFonts w:ascii="Calibri" w:eastAsia="Calibri" w:hAnsi="Calibri" w:hint="default"/>
        </w:rPr>
        <w:autoSpaceDE w:val="1"/>
        <w:autoSpaceDN w:val="1"/>
      </w:pPr>
      <w:r>
        <w:rPr>
          <w:rtl/>
          <w:b w:val="1"/>
          <w:color w:val="222222"/>
          <w:position w:val="0"/>
          <w:sz w:val="32"/>
          <w:szCs w:val="32"/>
          <w:rFonts w:ascii="Calibri" w:eastAsia="Calibri" w:hAnsi="Calibri" w:hint="default"/>
        </w:rPr>
        <w:t xml:space="preserve">النتائج 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b w:val="1"/>
          <w:color w:val="auto"/>
          <w:position w:val="0"/>
          <w:sz w:val="32"/>
          <w:szCs w:val="32"/>
          <w:rFonts w:ascii="Calibri" w:eastAsia="Calibri" w:hAnsi="Calibri" w:hint="default"/>
        </w:rPr>
        <w:autoSpaceDE w:val="1"/>
        <w:autoSpaceDN w:val="1"/>
      </w:pPr>
      <w:r>
        <w:rPr>
          <w:rtl/>
          <w:b w:val="1"/>
          <w:color w:val="auto"/>
          <w:position w:val="0"/>
          <w:sz w:val="32"/>
          <w:szCs w:val="32"/>
          <w:rFonts w:ascii="Calibri" w:eastAsia="Calibri" w:hAnsi="Calibri" w:hint="default"/>
        </w:rPr>
        <w:t xml:space="preserve"> من خلال من تم سرده نستنتج الآتي :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b w:val="1"/>
          <w:color w:val="auto"/>
          <w:position w:val="0"/>
          <w:sz w:val="32"/>
          <w:szCs w:val="32"/>
          <w:rFonts w:ascii="Calibri" w:eastAsia="Calibri" w:hAnsi="Calibri" w:hint="default"/>
        </w:rPr>
        <w:autoSpaceDE w:val="1"/>
        <w:autoSpaceDN w:val="1"/>
      </w:pPr>
      <w:r>
        <w:rPr>
          <w:rtl/>
          <w:b w:val="1"/>
          <w:color w:val="auto"/>
          <w:position w:val="0"/>
          <w:sz w:val="32"/>
          <w:szCs w:val="32"/>
          <w:rFonts w:ascii="Calibri" w:eastAsia="Calibri" w:hAnsi="Calibri" w:hint="default"/>
        </w:rPr>
        <w:t xml:space="preserve">١/ هنالك نوعان من التوفيق  الاول توفيق رضائي  والاخر توفيق قضائي. . 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b w:val="1"/>
          <w:color w:val="auto"/>
          <w:position w:val="0"/>
          <w:sz w:val="32"/>
          <w:szCs w:val="32"/>
          <w:rFonts w:ascii="Calibri" w:eastAsia="Calibri" w:hAnsi="Calibri" w:hint="default"/>
        </w:rPr>
        <w:autoSpaceDE w:val="1"/>
        <w:autoSpaceDN w:val="1"/>
      </w:pPr>
      <w:r>
        <w:rPr>
          <w:rtl/>
          <w:b w:val="1"/>
          <w:color w:val="auto"/>
          <w:position w:val="0"/>
          <w:sz w:val="32"/>
          <w:szCs w:val="32"/>
          <w:rFonts w:ascii="Calibri" w:eastAsia="Calibri" w:hAnsi="Calibri" w:hint="default"/>
        </w:rPr>
        <w:t xml:space="preserve">٢/  هنالك فرق بين التوفيق والتحكيم. 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b w:val="1"/>
          <w:color w:val="auto"/>
          <w:position w:val="0"/>
          <w:sz w:val="32"/>
          <w:szCs w:val="32"/>
          <w:rFonts w:ascii="Calibri" w:eastAsia="Calibri" w:hAnsi="Calibri" w:hint="default"/>
        </w:rPr>
        <w:autoSpaceDE w:val="1"/>
        <w:autoSpaceDN w:val="1"/>
      </w:pPr>
      <w:r>
        <w:rPr>
          <w:rtl/>
          <w:b w:val="1"/>
          <w:color w:val="auto"/>
          <w:position w:val="0"/>
          <w:sz w:val="32"/>
          <w:szCs w:val="32"/>
          <w:rFonts w:ascii="Calibri" w:eastAsia="Calibri" w:hAnsi="Calibri" w:hint="default"/>
        </w:rPr>
        <w:t xml:space="preserve">٣/ التزامات الموفق تختلف عن التزامات المحكم 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b w:val="1"/>
          <w:color w:val="auto"/>
          <w:position w:val="0"/>
          <w:sz w:val="32"/>
          <w:szCs w:val="32"/>
          <w:rFonts w:ascii="Calibri" w:eastAsia="Calibri" w:hAnsi="Calibri" w:hint="default"/>
        </w:rPr>
        <w:autoSpaceDE w:val="1"/>
        <w:autoSpaceDN w:val="1"/>
      </w:pP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b w:val="1"/>
          <w:color w:val="auto"/>
          <w:position w:val="0"/>
          <w:sz w:val="32"/>
          <w:szCs w:val="32"/>
          <w:rFonts w:ascii="Calibri" w:eastAsia="Calibri" w:hAnsi="Calibri" w:hint="default"/>
        </w:rPr>
        <w:autoSpaceDE w:val="1"/>
        <w:autoSpaceDN w:val="1"/>
      </w:pP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b w:val="1"/>
          <w:color w:val="auto"/>
          <w:position w:val="0"/>
          <w:sz w:val="32"/>
          <w:szCs w:val="32"/>
          <w:rFonts w:ascii="Calibri" w:eastAsia="Calibri" w:hAnsi="Calibri" w:hint="default"/>
        </w:rPr>
        <w:autoSpaceDE w:val="1"/>
        <w:autoSpaceDN w:val="1"/>
      </w:pP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b w:val="1"/>
          <w:color w:val="auto"/>
          <w:position w:val="0"/>
          <w:sz w:val="32"/>
          <w:szCs w:val="32"/>
          <w:rFonts w:ascii="Calibri" w:eastAsia="Calibri" w:hAnsi="Calibri" w:hint="default"/>
        </w:rPr>
        <w:autoSpaceDE w:val="1"/>
        <w:autoSpaceDN w:val="1"/>
      </w:pP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b w:val="1"/>
          <w:color w:val="auto"/>
          <w:position w:val="0"/>
          <w:sz w:val="32"/>
          <w:szCs w:val="32"/>
          <w:rFonts w:ascii="Calibri" w:eastAsia="Calibri" w:hAnsi="Calibri" w:hint="default"/>
        </w:rPr>
        <w:autoSpaceDE w:val="1"/>
        <w:autoSpaceDN w:val="1"/>
      </w:pP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b w:val="1"/>
          <w:color w:val="auto"/>
          <w:position w:val="0"/>
          <w:sz w:val="32"/>
          <w:szCs w:val="32"/>
          <w:rFonts w:ascii="Calibri" w:eastAsia="Calibri" w:hAnsi="Calibri" w:hint="default"/>
        </w:rPr>
        <w:autoSpaceDE w:val="1"/>
        <w:autoSpaceDN w:val="1"/>
      </w:pP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b w:val="1"/>
          <w:color w:val="auto"/>
          <w:position w:val="0"/>
          <w:sz w:val="32"/>
          <w:szCs w:val="32"/>
          <w:rFonts w:ascii="Calibri" w:eastAsia="Calibri" w:hAnsi="Calibri" w:hint="default"/>
        </w:rPr>
        <w:autoSpaceDE w:val="1"/>
        <w:autoSpaceDN w:val="1"/>
      </w:pP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b w:val="1"/>
          <w:color w:val="auto"/>
          <w:position w:val="0"/>
          <w:sz w:val="32"/>
          <w:szCs w:val="32"/>
          <w:rFonts w:ascii="Calibri" w:eastAsia="Calibri" w:hAnsi="Calibri" w:hint="default"/>
        </w:rPr>
        <w:autoSpaceDE w:val="1"/>
        <w:autoSpaceDN w:val="1"/>
      </w:pPr>
      <w:r>
        <w:rPr>
          <w:rtl/>
          <w:b w:val="1"/>
          <w:color w:val="auto"/>
          <w:position w:val="0"/>
          <w:sz w:val="32"/>
          <w:szCs w:val="32"/>
          <w:rFonts w:ascii="Calibri" w:eastAsia="Calibri" w:hAnsi="Calibri" w:hint="default"/>
        </w:rPr>
        <w:t xml:space="preserve">المراجع العربية </w:t>
      </w:r>
    </w:p>
    <w:p>
      <w:pPr>
        <w:pStyle w:val="PO26"/>
        <w:bidi w:val="0"/>
        <w:numPr>
          <w:ilvl w:val="0"/>
          <w:numId w:val="11"/>
        </w:numPr>
        <w:jc w:val="right"/>
        <w:spacing w:lineRule="auto" w:line="240" w:before="0" w:after="200"/>
        <w:contextualSpacing w:val="1"/>
        <w:ind w:left="1080" w:right="0" w:hanging="360"/>
        <w:rPr>
          <w:color w:val="auto"/>
          <w:position w:val="0"/>
          <w:sz w:val="28"/>
          <w:szCs w:val="28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b w:val="1"/>
          <w:color w:val="auto"/>
          <w:position w:val="0"/>
          <w:sz w:val="28"/>
          <w:szCs w:val="28"/>
          <w:rFonts w:ascii="Traditional Arabic" w:eastAsia="Traditional Arabic" w:hAnsi="Traditional Arabic" w:hint="default"/>
        </w:rPr>
        <w:t xml:space="preserve">أ.د/ أحمد أبو الوفا، ا</w:t>
      </w:r>
      <w:r>
        <w:rPr>
          <w:rtl/>
          <w:color w:val="auto"/>
          <w:position w:val="0"/>
          <w:sz w:val="28"/>
          <w:szCs w:val="28"/>
          <w:rFonts w:ascii="Traditional Arabic" w:eastAsia="Traditional Arabic" w:hAnsi="Traditional Arabic" w:hint="default"/>
        </w:rPr>
        <w:t xml:space="preserve">لتحكيم الاختياري والتحكيم الإجباري، منشأة المعارف </w:t>
      </w:r>
      <w:r>
        <w:rPr>
          <w:rtl/>
          <w:color w:val="auto"/>
          <w:position w:val="0"/>
          <w:sz w:val="28"/>
          <w:szCs w:val="28"/>
          <w:rFonts w:ascii="Traditional Arabic" w:eastAsia="Traditional Arabic" w:hAnsi="Traditional Arabic" w:hint="default"/>
        </w:rPr>
        <w:t xml:space="preserve">الإسكندرية ،</w:t>
      </w:r>
      <w:r>
        <w:rPr>
          <w:color w:val="auto"/>
          <w:position w:val="0"/>
          <w:sz w:val="28"/>
          <w:szCs w:val="28"/>
          <w:rFonts w:ascii="Traditional Arabic" w:eastAsia="Traditional Arabic" w:hAnsi="Traditional Arabic" w:hint="default"/>
        </w:rPr>
        <w:t xml:space="preserve"> 1988 </w:t>
      </w:r>
    </w:p>
    <w:p>
      <w:pPr>
        <w:bidi w:val="1"/>
        <w:numPr>
          <w:ilvl w:val="0"/>
          <w:numId w:val="0"/>
        </w:numPr>
        <w:jc w:val="left"/>
        <w:spacing w:lineRule="auto" w:line="240" w:before="0" w:after="200"/>
        <w:ind w:right="720" w:left="0" w:firstLine="0"/>
        <w:rPr>
          <w:color w:val="auto"/>
          <w:position w:val="0"/>
          <w:sz w:val="28"/>
          <w:szCs w:val="28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b w:val="1"/>
          <w:color w:val="auto"/>
          <w:position w:val="0"/>
          <w:sz w:val="28"/>
          <w:szCs w:val="28"/>
          <w:rFonts w:ascii="Traditional Arabic" w:eastAsia="Traditional Arabic" w:hAnsi="Traditional Arabic" w:hint="default"/>
        </w:rPr>
        <w:t xml:space="preserve">أ.د/ أحمد عبد الكريم سلامه .</w:t>
      </w:r>
      <w:r>
        <w:rPr>
          <w:rtl/>
          <w:color w:val="auto"/>
          <w:position w:val="0"/>
          <w:sz w:val="28"/>
          <w:szCs w:val="28"/>
          <w:rFonts w:ascii="Traditional Arabic" w:eastAsia="Traditional Arabic" w:hAnsi="Traditional Arabic" w:hint="default"/>
        </w:rPr>
        <w:t xml:space="preserve">ا لنظرية العامة للنظم الودية لتسوية المنازعات </w:t>
      </w:r>
      <w:r>
        <w:rPr>
          <w:rtl/>
          <w:color w:val="auto"/>
          <w:position w:val="0"/>
          <w:sz w:val="28"/>
          <w:szCs w:val="28"/>
          <w:rFonts w:ascii="Traditional Arabic" w:eastAsia="Traditional Arabic" w:hAnsi="Traditional Arabic" w:hint="default"/>
        </w:rPr>
        <w:t xml:space="preserve">(المفاوضات – الوساطة – التوفيق – الصلح ) بديلا عن المعترك القضائي , , دار </w:t>
      </w:r>
      <w:r>
        <w:rPr>
          <w:rtl/>
          <w:color w:val="auto"/>
          <w:position w:val="0"/>
          <w:sz w:val="28"/>
          <w:szCs w:val="28"/>
          <w:rFonts w:ascii="Traditional Arabic" w:eastAsia="Traditional Arabic" w:hAnsi="Traditional Arabic" w:hint="default"/>
        </w:rPr>
        <w:t xml:space="preserve">النهضة العربية ,2013.</w:t>
      </w:r>
    </w:p>
    <w:p>
      <w:pPr>
        <w:pStyle w:val="PO26"/>
        <w:bidi w:val="0"/>
        <w:numPr>
          <w:ilvl w:val="0"/>
          <w:numId w:val="7"/>
        </w:numPr>
        <w:jc w:val="right"/>
        <w:spacing w:lineRule="auto" w:line="275" w:before="0" w:after="200"/>
        <w:ind w:left="1080" w:right="0" w:hanging="360"/>
        <w:rPr>
          <w:color w:val="auto"/>
          <w:position w:val="0"/>
          <w:sz w:val="28"/>
          <w:szCs w:val="28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color w:val="auto"/>
          <w:position w:val="0"/>
          <w:sz w:val="28"/>
          <w:szCs w:val="28"/>
          <w:rFonts w:ascii="Traditional Arabic" w:eastAsia="Traditional Arabic" w:hAnsi="Traditional Arabic" w:hint="default"/>
        </w:rPr>
        <w:t xml:space="preserve">قانون التحكيم التجاري الدولي والداخلي " تنظير وتطبيق مقارن " بدون ناشر 2003.</w:t>
      </w:r>
    </w:p>
    <w:p>
      <w:pPr>
        <w:bidi w:val="1"/>
        <w:numPr>
          <w:ilvl w:val="0"/>
          <w:numId w:val="0"/>
        </w:numPr>
        <w:jc w:val="left"/>
        <w:spacing w:lineRule="auto" w:line="240" w:before="0" w:after="200"/>
        <w:ind w:right="720" w:left="0" w:firstLine="0"/>
        <w:rPr>
          <w:rtl/>
          <w:b w:val="1"/>
          <w:color w:val="auto"/>
          <w:position w:val="0"/>
          <w:sz w:val="28"/>
          <w:szCs w:val="28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b w:val="1"/>
          <w:color w:val="auto"/>
          <w:position w:val="0"/>
          <w:sz w:val="28"/>
          <w:szCs w:val="28"/>
          <w:rFonts w:ascii="Traditional Arabic" w:eastAsia="Traditional Arabic" w:hAnsi="Traditional Arabic" w:hint="default"/>
        </w:rPr>
        <w:t xml:space="preserve">أ. د / الخير قشي </w:t>
      </w:r>
      <w:r>
        <w:rPr>
          <w:rtl/>
          <w:color w:val="auto"/>
          <w:position w:val="0"/>
          <w:sz w:val="28"/>
          <w:szCs w:val="28"/>
          <w:rFonts w:ascii="Traditional Arabic" w:eastAsia="Traditional Arabic" w:hAnsi="Traditional Arabic" w:hint="default"/>
        </w:rPr>
        <w:t xml:space="preserve">،   الوسائل التحاكمية وغير التحاكمية لتسوية المنازعات الدولية , </w:t>
      </w:r>
      <w:r>
        <w:rPr>
          <w:rtl/>
          <w:color w:val="auto"/>
          <w:position w:val="0"/>
          <w:sz w:val="28"/>
          <w:szCs w:val="28"/>
          <w:rFonts w:ascii="Traditional Arabic" w:eastAsia="Traditional Arabic" w:hAnsi="Traditional Arabic" w:hint="default"/>
        </w:rPr>
        <w:t xml:space="preserve">المؤسسة  الجامعية للدراسات والنشر والتوزيع, 1999</w:t>
      </w:r>
      <w:r>
        <w:rPr>
          <w:rtl/>
          <w:b w:val="1"/>
          <w:color w:val="auto"/>
          <w:position w:val="0"/>
          <w:sz w:val="28"/>
          <w:szCs w:val="28"/>
          <w:rFonts w:ascii="Traditional Arabic" w:eastAsia="Traditional Arabic" w:hAnsi="Traditional Arabic" w:hint="default"/>
        </w:rPr>
        <w:t xml:space="preserve">.  </w:t>
      </w:r>
    </w:p>
    <w:p>
      <w:pPr>
        <w:pStyle w:val="PO26"/>
        <w:bidi w:val="0"/>
        <w:numPr>
          <w:ilvl w:val="0"/>
          <w:numId w:val="12"/>
        </w:numPr>
        <w:jc w:val="right"/>
        <w:spacing w:lineRule="auto" w:line="240" w:before="0" w:after="200"/>
        <w:contextualSpacing w:val="1"/>
        <w:ind w:left="1080" w:right="0" w:hanging="360"/>
        <w:rPr>
          <w:b w:val="1"/>
          <w:color w:val="auto"/>
          <w:position w:val="0"/>
          <w:sz w:val="28"/>
          <w:szCs w:val="28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b w:val="1"/>
          <w:color w:val="auto"/>
          <w:position w:val="0"/>
          <w:sz w:val="28"/>
          <w:szCs w:val="28"/>
          <w:rFonts w:ascii="Traditional Arabic" w:eastAsia="Traditional Arabic" w:hAnsi="Traditional Arabic" w:hint="default"/>
        </w:rPr>
        <w:t xml:space="preserve">          د/ خيري عبدالفتاح البتاتوني،</w:t>
      </w:r>
      <w:r>
        <w:rPr>
          <w:b w:val="1"/>
          <w:color w:val="auto"/>
          <w:position w:val="0"/>
          <w:sz w:val="28"/>
          <w:szCs w:val="28"/>
          <w:rFonts w:ascii="Traditional Arabic" w:eastAsia="Traditional Arabic" w:hAnsi="Traditional Arabic" w:hint="default"/>
        </w:rPr>
        <w:t xml:space="preserve"> </w:t>
      </w:r>
    </w:p>
    <w:p>
      <w:pPr>
        <w:pStyle w:val="PO26"/>
        <w:bidi w:val="0"/>
        <w:numPr>
          <w:ilvl w:val="0"/>
          <w:numId w:val="12"/>
        </w:numPr>
        <w:jc w:val="right"/>
        <w:spacing w:lineRule="auto" w:line="240" w:before="0" w:after="200"/>
        <w:contextualSpacing w:val="1"/>
        <w:ind w:left="1080" w:right="0" w:hanging="360"/>
        <w:rPr>
          <w:b w:val="1"/>
          <w:color w:val="auto"/>
          <w:position w:val="0"/>
          <w:sz w:val="28"/>
          <w:szCs w:val="28"/>
          <w:rFonts w:ascii="Traditional Arabic" w:eastAsia="Traditional Arabic" w:hAnsi="Traditional Arabic" w:hint="default"/>
        </w:rPr>
        <w:autoSpaceDE w:val="1"/>
        <w:autoSpaceDN w:val="1"/>
      </w:pPr>
      <w:r>
        <w:rPr>
          <w:b w:val="1"/>
          <w:color w:val="auto"/>
          <w:position w:val="0"/>
          <w:sz w:val="28"/>
          <w:szCs w:val="28"/>
          <w:rFonts w:ascii="Traditional Arabic" w:eastAsia="Traditional Arabic" w:hAnsi="Traditional Arabic" w:hint="default"/>
        </w:rPr>
        <w:t xml:space="preserve"> </w:t>
      </w:r>
      <w:r>
        <w:rPr>
          <w:rtl/>
          <w:color w:val="auto"/>
          <w:position w:val="0"/>
          <w:sz w:val="28"/>
          <w:szCs w:val="28"/>
          <w:rFonts w:ascii="Traditional Arabic" w:eastAsia="Traditional Arabic" w:hAnsi="Traditional Arabic" w:hint="default"/>
        </w:rPr>
        <w:t xml:space="preserve">الوساطة " كوسيلة بديلة لفض المنازعات المدنية والتجارية" ,الطبعة الثانية, دار </w:t>
      </w:r>
      <w:r>
        <w:rPr>
          <w:rtl/>
          <w:color w:val="auto"/>
          <w:position w:val="0"/>
          <w:sz w:val="28"/>
          <w:szCs w:val="28"/>
          <w:rFonts w:ascii="Traditional Arabic" w:eastAsia="Traditional Arabic" w:hAnsi="Traditional Arabic" w:hint="default"/>
        </w:rPr>
        <w:t xml:space="preserve">النهضة العربية, 2012.</w:t>
      </w:r>
    </w:p>
    <w:p>
      <w:pPr>
        <w:pStyle w:val="PO26"/>
        <w:bidi w:val="0"/>
        <w:numPr>
          <w:ilvl w:val="0"/>
          <w:numId w:val="7"/>
        </w:numPr>
        <w:jc w:val="right"/>
        <w:spacing w:lineRule="auto" w:line="240" w:before="0" w:after="200"/>
        <w:contextualSpacing w:val="1"/>
        <w:ind w:left="1080" w:right="0" w:hanging="360"/>
        <w:rPr>
          <w:b w:val="1"/>
          <w:color w:val="auto"/>
          <w:position w:val="0"/>
          <w:sz w:val="28"/>
          <w:szCs w:val="28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b w:val="1"/>
          <w:color w:val="auto"/>
          <w:position w:val="0"/>
          <w:sz w:val="28"/>
          <w:szCs w:val="28"/>
          <w:rFonts w:ascii="Traditional Arabic" w:eastAsia="Traditional Arabic" w:hAnsi="Traditional Arabic" w:hint="default"/>
        </w:rPr>
        <w:t xml:space="preserve">أ.د/عبد الحميد الشواربي </w:t>
      </w:r>
      <w:r>
        <w:rPr>
          <w:rtl/>
          <w:color w:val="auto"/>
          <w:position w:val="0"/>
          <w:sz w:val="28"/>
          <w:szCs w:val="28"/>
          <w:rFonts w:ascii="Traditional Arabic" w:eastAsia="Traditional Arabic" w:hAnsi="Traditional Arabic" w:hint="default"/>
        </w:rPr>
        <w:t xml:space="preserve">التحكيم والتصالح في ضوء الفقه والقضاء ,الطبعة </w:t>
      </w:r>
      <w:r>
        <w:rPr>
          <w:rtl/>
          <w:color w:val="auto"/>
          <w:position w:val="0"/>
          <w:sz w:val="28"/>
          <w:szCs w:val="28"/>
          <w:rFonts w:ascii="Traditional Arabic" w:eastAsia="Traditional Arabic" w:hAnsi="Traditional Arabic" w:hint="default"/>
        </w:rPr>
        <w:t xml:space="preserve">الثانية ,منشأة المعارف بالإسكندرية, 1988. </w:t>
      </w:r>
    </w:p>
    <w:p>
      <w:pPr>
        <w:pStyle w:val="PO26"/>
        <w:bidi w:val="0"/>
        <w:numPr>
          <w:ilvl w:val="0"/>
          <w:numId w:val="7"/>
        </w:numPr>
        <w:jc w:val="right"/>
        <w:spacing w:lineRule="auto" w:line="240" w:before="0" w:after="200"/>
        <w:contextualSpacing w:val="1"/>
        <w:ind w:left="1080" w:right="0" w:hanging="360"/>
        <w:rPr>
          <w:color w:val="auto"/>
          <w:position w:val="0"/>
          <w:sz w:val="28"/>
          <w:szCs w:val="28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b w:val="1"/>
          <w:color w:val="auto"/>
          <w:position w:val="0"/>
          <w:sz w:val="28"/>
          <w:szCs w:val="28"/>
          <w:rFonts w:ascii="Traditional Arabic" w:eastAsia="Traditional Arabic" w:hAnsi="Traditional Arabic" w:hint="default"/>
        </w:rPr>
        <w:t xml:space="preserve">د/ علاء أباريان، </w:t>
      </w:r>
      <w:r>
        <w:rPr>
          <w:rtl/>
          <w:color w:val="auto"/>
          <w:position w:val="0"/>
          <w:sz w:val="28"/>
          <w:szCs w:val="28"/>
          <w:rFonts w:ascii="Traditional Arabic" w:eastAsia="Traditional Arabic" w:hAnsi="Traditional Arabic" w:hint="default"/>
        </w:rPr>
        <w:t xml:space="preserve">الوسائل البديلة لحل النزاعات التجارية " دراسة مقارنة " , </w:t>
      </w:r>
      <w:r>
        <w:rPr>
          <w:rtl/>
          <w:color w:val="auto"/>
          <w:position w:val="0"/>
          <w:sz w:val="28"/>
          <w:szCs w:val="28"/>
          <w:rFonts w:ascii="Traditional Arabic" w:eastAsia="Traditional Arabic" w:hAnsi="Traditional Arabic" w:hint="default"/>
        </w:rPr>
        <w:t xml:space="preserve">منشورات الحلبي الحقوقية 2008</w:t>
      </w:r>
      <w:r>
        <w:rPr>
          <w:rtl/>
          <w:b w:val="1"/>
          <w:color w:val="auto"/>
          <w:position w:val="0"/>
          <w:sz w:val="28"/>
          <w:szCs w:val="28"/>
          <w:rFonts w:ascii="Traditional Arabic" w:eastAsia="Traditional Arabic" w:hAnsi="Traditional Arabic" w:hint="default"/>
        </w:rPr>
        <w:t xml:space="preserve"> </w:t>
      </w:r>
      <w:r>
        <w:rPr>
          <w:rtl/>
          <w:color w:val="auto"/>
          <w:position w:val="0"/>
          <w:sz w:val="28"/>
          <w:szCs w:val="28"/>
          <w:rFonts w:ascii="Traditional Arabic" w:eastAsia="Traditional Arabic" w:hAnsi="Traditional Arabic" w:hint="default"/>
        </w:rPr>
        <w:t xml:space="preserve">. </w:t>
      </w:r>
    </w:p>
    <w:p>
      <w:pPr>
        <w:pStyle w:val="PO26"/>
        <w:bidi w:val="0"/>
        <w:numPr>
          <w:ilvl w:val="0"/>
          <w:numId w:val="7"/>
        </w:numPr>
        <w:jc w:val="right"/>
        <w:spacing w:lineRule="auto" w:line="240" w:before="0" w:after="200"/>
        <w:contextualSpacing w:val="1"/>
        <w:ind w:left="1080" w:right="0" w:hanging="360"/>
        <w:rPr>
          <w:b w:val="1"/>
          <w:color w:val="auto"/>
          <w:position w:val="0"/>
          <w:sz w:val="28"/>
          <w:szCs w:val="28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b w:val="1"/>
          <w:color w:val="auto"/>
          <w:position w:val="0"/>
          <w:sz w:val="28"/>
          <w:szCs w:val="28"/>
          <w:rFonts w:ascii="Traditional Arabic" w:eastAsia="Traditional Arabic" w:hAnsi="Traditional Arabic" w:hint="default"/>
        </w:rPr>
        <w:t xml:space="preserve">د/علي عوض حسن ، </w:t>
      </w:r>
      <w:r>
        <w:rPr>
          <w:rtl/>
          <w:color w:val="auto"/>
          <w:position w:val="0"/>
          <w:sz w:val="28"/>
          <w:szCs w:val="28"/>
          <w:rFonts w:ascii="Traditional Arabic" w:eastAsia="Traditional Arabic" w:hAnsi="Traditional Arabic" w:hint="default"/>
        </w:rPr>
        <w:t xml:space="preserve">التعليق على القانون رقم 7 لسنة 2000 بشأن التوفيق في </w:t>
      </w:r>
      <w:r>
        <w:rPr>
          <w:rtl/>
          <w:color w:val="auto"/>
          <w:position w:val="0"/>
          <w:sz w:val="28"/>
          <w:szCs w:val="28"/>
          <w:rFonts w:ascii="Traditional Arabic" w:eastAsia="Traditional Arabic" w:hAnsi="Traditional Arabic" w:hint="default"/>
        </w:rPr>
        <w:t xml:space="preserve">المنازعات, دار المطبوعات الجامعية, 2001</w:t>
      </w:r>
    </w:p>
    <w:p>
      <w:pPr>
        <w:pStyle w:val="PO26"/>
        <w:bidi w:val="0"/>
        <w:numPr>
          <w:ilvl w:val="0"/>
          <w:numId w:val="7"/>
        </w:numPr>
        <w:jc w:val="right"/>
        <w:spacing w:lineRule="auto" w:line="240" w:before="0" w:after="200"/>
        <w:contextualSpacing w:val="1"/>
        <w:ind w:left="1080" w:right="0" w:hanging="360"/>
        <w:rPr>
          <w:color w:val="auto"/>
          <w:position w:val="0"/>
          <w:sz w:val="28"/>
          <w:szCs w:val="28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color w:val="auto"/>
          <w:position w:val="0"/>
          <w:sz w:val="28"/>
          <w:szCs w:val="28"/>
          <w:rFonts w:ascii="Traditional Arabic" w:eastAsia="Traditional Arabic" w:hAnsi="Traditional Arabic" w:hint="default"/>
        </w:rPr>
        <w:t xml:space="preserve"> </w:t>
      </w:r>
    </w:p>
    <w:p>
      <w:pPr>
        <w:pStyle w:val="PO26"/>
        <w:bidi w:val="0"/>
        <w:numPr>
          <w:ilvl w:val="0"/>
          <w:numId w:val="7"/>
        </w:numPr>
        <w:jc w:val="right"/>
        <w:spacing w:lineRule="auto" w:line="240" w:before="0" w:after="200"/>
        <w:contextualSpacing w:val="1"/>
        <w:ind w:left="1080" w:right="0" w:hanging="360"/>
        <w:rPr>
          <w:b w:val="1"/>
          <w:color w:val="auto"/>
          <w:position w:val="0"/>
          <w:sz w:val="28"/>
          <w:szCs w:val="28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b w:val="1"/>
          <w:color w:val="auto"/>
          <w:position w:val="0"/>
          <w:sz w:val="28"/>
          <w:szCs w:val="28"/>
          <w:rFonts w:ascii="Traditional Arabic" w:eastAsia="Traditional Arabic" w:hAnsi="Traditional Arabic" w:hint="default"/>
        </w:rPr>
        <w:t xml:space="preserve">د/ محمد إبراهيم موسى</w:t>
      </w:r>
      <w:r>
        <w:rPr>
          <w:rtl/>
          <w:color w:val="auto"/>
          <w:position w:val="0"/>
          <w:sz w:val="28"/>
          <w:szCs w:val="28"/>
          <w:rFonts w:ascii="Traditional Arabic" w:eastAsia="Traditional Arabic" w:hAnsi="Traditional Arabic" w:hint="default"/>
        </w:rPr>
        <w:t xml:space="preserve">التوفيق التجاري الدولي (وتغير النظرة السائدة حول سبل </w:t>
      </w:r>
      <w:r>
        <w:rPr>
          <w:rtl/>
          <w:color w:val="auto"/>
          <w:position w:val="0"/>
          <w:sz w:val="28"/>
          <w:szCs w:val="28"/>
          <w:rFonts w:ascii="Traditional Arabic" w:eastAsia="Traditional Arabic" w:hAnsi="Traditional Arabic" w:hint="default"/>
        </w:rPr>
        <w:t xml:space="preserve">تسوية منازعات التجارة الدولية ), دار الجامعة الجديدة للنشر 2005 .</w:t>
      </w:r>
      <w:r>
        <w:rPr>
          <w:b w:val="1"/>
          <w:color w:val="auto"/>
          <w:position w:val="0"/>
          <w:sz w:val="28"/>
          <w:szCs w:val="28"/>
          <w:rFonts w:ascii="Traditional Arabic" w:eastAsia="Traditional Arabic" w:hAnsi="Traditional Arabic" w:hint="default"/>
        </w:rPr>
        <w:t xml:space="preserve">  </w:t>
      </w:r>
    </w:p>
    <w:p>
      <w:pPr>
        <w:pStyle w:val="PO26"/>
        <w:bidi w:val="0"/>
        <w:numPr>
          <w:ilvl w:val="0"/>
          <w:numId w:val="7"/>
        </w:numPr>
        <w:jc w:val="right"/>
        <w:spacing w:lineRule="auto" w:line="240" w:before="0" w:after="200"/>
        <w:contextualSpacing w:val="1"/>
        <w:ind w:left="1080" w:right="0" w:hanging="360"/>
        <w:rPr>
          <w:color w:val="auto"/>
          <w:position w:val="0"/>
          <w:sz w:val="28"/>
          <w:szCs w:val="28"/>
          <w:rFonts w:ascii="Traditional Arabic" w:eastAsia="Traditional Arabic" w:hAnsi="Traditional Arabic" w:hint="default"/>
        </w:rPr>
        <w:autoSpaceDE w:val="1"/>
        <w:autoSpaceDN w:val="1"/>
      </w:pPr>
    </w:p>
    <w:p>
      <w:pPr>
        <w:pStyle w:val="PO26"/>
        <w:bidi w:val="0"/>
        <w:numPr>
          <w:ilvl w:val="0"/>
          <w:numId w:val="7"/>
        </w:numPr>
        <w:jc w:val="right"/>
        <w:spacing w:lineRule="auto" w:line="275" w:before="0" w:after="200"/>
        <w:contextualSpacing w:val="1"/>
        <w:ind w:left="1080" w:right="0" w:hanging="360"/>
        <w:rPr>
          <w:rtl/>
          <w:b w:val="1"/>
          <w:color w:val="auto"/>
          <w:position w:val="0"/>
          <w:sz w:val="28"/>
          <w:szCs w:val="28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b w:val="1"/>
          <w:color w:val="auto"/>
          <w:position w:val="0"/>
          <w:sz w:val="28"/>
          <w:szCs w:val="28"/>
          <w:rFonts w:ascii="Traditional Arabic" w:eastAsia="Traditional Arabic" w:hAnsi="Traditional Arabic" w:hint="default"/>
        </w:rPr>
        <w:t xml:space="preserve">د/  مصطفى المتولى قنديل </w:t>
      </w:r>
      <w:r>
        <w:rPr>
          <w:rtl/>
          <w:color w:val="auto"/>
          <w:position w:val="0"/>
          <w:sz w:val="28"/>
          <w:szCs w:val="28"/>
          <w:rFonts w:ascii="Traditional Arabic" w:eastAsia="Traditional Arabic" w:hAnsi="Traditional Arabic" w:hint="default"/>
        </w:rPr>
        <w:t xml:space="preserve">دور الأطراف في تسوية المنازعات العقدية , دار </w:t>
      </w:r>
      <w:r>
        <w:rPr>
          <w:rtl/>
          <w:color w:val="auto"/>
          <w:position w:val="0"/>
          <w:sz w:val="28"/>
          <w:szCs w:val="28"/>
          <w:rFonts w:ascii="Traditional Arabic" w:eastAsia="Traditional Arabic" w:hAnsi="Traditional Arabic" w:hint="default"/>
        </w:rPr>
        <w:t xml:space="preserve">الجامعة الجديدة للنشر , .</w:t>
      </w:r>
    </w:p>
    <w:p>
      <w:pPr>
        <w:bidi w:val="1"/>
        <w:numPr>
          <w:ilvl w:val="0"/>
          <w:numId w:val="0"/>
        </w:numPr>
        <w:jc w:val="left"/>
        <w:spacing w:lineRule="auto" w:line="240" w:before="0" w:after="200"/>
        <w:ind w:right="720" w:left="0" w:firstLine="0"/>
        <w:rPr>
          <w:rtl/>
          <w:b w:val="1"/>
          <w:color w:val="auto"/>
          <w:position w:val="0"/>
          <w:sz w:val="28"/>
          <w:szCs w:val="28"/>
          <w:rFonts w:ascii="Calibri" w:eastAsia="Calibri" w:hAnsi="Calibri" w:hint="default"/>
        </w:rPr>
        <w:autoSpaceDE w:val="1"/>
        <w:autoSpaceDN w:val="1"/>
      </w:pPr>
      <w:r>
        <w:rPr>
          <w:rtl/>
          <w:b w:val="1"/>
          <w:color w:val="auto"/>
          <w:position w:val="0"/>
          <w:sz w:val="28"/>
          <w:szCs w:val="28"/>
          <w:rFonts w:ascii="Calibri" w:eastAsia="Calibri" w:hAnsi="Calibri" w:hint="default"/>
        </w:rPr>
        <w:t xml:space="preserve">المراجع الاجنبية ومواقع الانترنت :</w:t>
      </w:r>
    </w:p>
    <w:p>
      <w:pPr>
        <w:bidi w:val="1"/>
        <w:numPr>
          <w:ilvl w:val="0"/>
          <w:numId w:val="0"/>
        </w:numPr>
        <w:jc w:val="right"/>
        <w:spacing w:lineRule="auto" w:line="240" w:before="0" w:after="200"/>
        <w:ind w:left="0" w:firstLine="0"/>
        <w:rPr>
          <w:rtl/>
          <w:color w:val="auto"/>
          <w:position w:val="0"/>
          <w:sz w:val="22"/>
          <w:szCs w:val="22"/>
          <w:rFonts w:ascii="Cambria" w:eastAsia="Traditional Arabic" w:hAnsi="Traditional Arabic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Cambria" w:eastAsia="Calibri" w:hAnsi="Calibri" w:hint="default"/>
        </w:rPr>
        <w:t xml:space="preserve">- Law on Intemational Commercial Conciliation(2002), United Nations </w:t>
      </w:r>
      <w:r>
        <w:rPr>
          <w:color w:val="auto"/>
          <w:position w:val="0"/>
          <w:sz w:val="24"/>
          <w:szCs w:val="24"/>
          <w:rFonts w:ascii="Cambria" w:eastAsia="Calibri" w:hAnsi="Calibri" w:hint="default"/>
        </w:rPr>
        <w:t xml:space="preserve">Publication </w:t>
      </w:r>
      <w:r>
        <w:rPr>
          <w:rtl/>
          <w:color w:val="auto"/>
          <w:position w:val="0"/>
          <w:sz w:val="24"/>
          <w:szCs w:val="24"/>
          <w:rFonts w:ascii="Cambria" w:eastAsia="Calibri" w:hAnsi="Calibri" w:hint="default"/>
        </w:rPr>
        <w:t xml:space="preserve"> -  </w:t>
      </w:r>
      <w:r>
        <w:rPr>
          <w:color w:val="auto"/>
          <w:position w:val="0"/>
          <w:sz w:val="24"/>
          <w:szCs w:val="24"/>
          <w:rFonts w:ascii="Cambria" w:eastAsia="Calibri" w:hAnsi="Calibri" w:hint="default"/>
        </w:rPr>
        <w:t xml:space="preserve">UVCITRAL  Model</w:t>
      </w:r>
    </w:p>
    <w:p>
      <w:pPr>
        <w:pStyle w:val="PO26"/>
        <w:bidi w:val="1"/>
        <w:numPr>
          <w:ilvl w:val="0"/>
          <w:numId w:val="0"/>
        </w:numPr>
        <w:jc w:val="right"/>
        <w:spacing w:lineRule="auto" w:line="275" w:before="0" w:after="200"/>
        <w:contextualSpacing w:val="1"/>
        <w:ind w:right="1080" w:left="0" w:firstLine="0"/>
        <w:rPr>
          <w:color w:val="auto"/>
          <w:position w:val="0"/>
          <w:sz w:val="22"/>
          <w:szCs w:val="22"/>
          <w:rFonts w:ascii="Calibri" w:eastAsia="Calibri" w:hAnsi="Calibri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Cambria" w:eastAsia="Calibri" w:hAnsi="Calibri" w:hint="default"/>
        </w:rPr>
        <w:t xml:space="preserve">- Diaz, Luis Miguel, Mediation Year 2051?, 56 Dis. Res. J. 24, 2001, </w:t>
      </w:r>
      <w:r>
        <w:rPr>
          <w:color w:val="auto"/>
          <w:position w:val="0"/>
          <w:sz w:val="24"/>
          <w:szCs w:val="24"/>
          <w:rFonts w:ascii="Cambria" w:eastAsia="Calibri" w:hAnsi="Calibri" w:hint="default"/>
        </w:rPr>
        <w:t xml:space="preserve">article ,</w:t>
      </w:r>
      <w:hyperlink r:id="rId7">
        <w:r>
          <w:rPr>
            <w:rStyle w:val="PO155"/>
            <w:color w:val="0000FF"/>
            <w:position w:val="0"/>
            <w:sz w:val="22"/>
            <w:szCs w:val="22"/>
            <w:u w:val="single"/>
            <w:rFonts w:ascii="Cambria" w:eastAsia="Calibri" w:hAnsi="Calibri" w:hint="default"/>
          </w:rPr>
          <w:t>http://search.proquest.com</w:t>
        </w:r>
      </w:hyperlink>
      <w:r>
        <w:rPr>
          <w:color w:val="auto"/>
          <w:position w:val="0"/>
          <w:sz w:val="22"/>
          <w:szCs w:val="22"/>
          <w:rFonts w:ascii="Calibri" w:eastAsia="Calibri" w:hAnsi="Calibri" w:hint="default"/>
        </w:rPr>
        <w:t>.</w:t>
      </w:r>
    </w:p>
    <w:p>
      <w:pPr>
        <w:pStyle w:val="PO26"/>
        <w:bidi w:val="1"/>
        <w:numPr>
          <w:ilvl w:val="0"/>
          <w:numId w:val="0"/>
        </w:numPr>
        <w:jc w:val="right"/>
        <w:spacing w:lineRule="auto" w:line="275" w:before="0" w:after="200"/>
        <w:contextualSpacing w:val="1"/>
        <w:ind w:right="1080" w:left="0" w:firstLine="0"/>
        <w:rPr>
          <w:color w:val="auto"/>
          <w:position w:val="0"/>
          <w:sz w:val="22"/>
          <w:szCs w:val="22"/>
          <w:rFonts w:ascii="Calibri" w:eastAsia="Calibri" w:hAnsi="Calibri" w:hint="default"/>
        </w:rPr>
        <w:autoSpaceDE w:val="1"/>
        <w:autoSpaceDN w:val="1"/>
      </w:pPr>
    </w:p>
    <w:p>
      <w:pPr>
        <w:pStyle w:val="PO26"/>
        <w:bidi w:val="1"/>
        <w:numPr>
          <w:ilvl w:val="0"/>
          <w:numId w:val="0"/>
        </w:numPr>
        <w:jc w:val="right"/>
        <w:spacing w:lineRule="auto" w:line="275" w:before="0" w:after="200"/>
        <w:contextualSpacing w:val="1"/>
        <w:ind w:right="1080" w:left="0" w:firstLine="0"/>
        <w:rPr>
          <w:rtl/>
          <w:color w:val="auto"/>
          <w:position w:val="0"/>
          <w:sz w:val="22"/>
          <w:szCs w:val="22"/>
          <w:rFonts w:ascii="Calibri" w:eastAsia="Calibri" w:hAnsi="Calibri" w:hint="default"/>
        </w:rPr>
        <w:autoSpaceDE w:val="1"/>
        <w:autoSpaceDN w:val="1"/>
      </w:pPr>
    </w:p>
    <w:p>
      <w:pPr>
        <w:bidi w:val="1"/>
        <w:numPr>
          <w:ilvl w:val="0"/>
          <w:numId w:val="0"/>
        </w:numPr>
        <w:jc w:val="center"/>
        <w:spacing w:lineRule="auto" w:line="275" w:before="0" w:after="200"/>
        <w:ind w:left="0" w:firstLine="0"/>
        <w:rPr>
          <w:rtl/>
          <w:b w:val="1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b w:val="1"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الفهرس 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مقدمة البحث                                                   ص 2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اهداف البحث                                                 ص  2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مشكلة البحث وفروض وتساؤلات البحث                       ص3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طريقة منهج البحث                                              ص3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الفصل الأول : التوفيق التجاري                                  ص4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المحبث الاول : ماهية التوفيق التجاري                            ص4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المحبث الثاني : أشكال السند القضائي للتوفيق                   ص7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المحبث الثالث : التمييز بين التوفيق والتحكيم                    ص9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المبحث الرابع : التزامات وحقوق الموفق                         ص10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المبحث الخامس  : سير عملية التوفيق                          ص12 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التوصيات                                                      ص17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الخلاصة                                                        ص17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مستخلص البحث                                             ص18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المراجع                                                         ص19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  <w:r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t xml:space="preserve">الفهرس                                                        ص20</w:t>
      </w: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right="720" w:left="0" w:firstLine="0"/>
        <w:rPr>
          <w:rtl/>
          <w:color w:val="auto"/>
          <w:position w:val="0"/>
          <w:sz w:val="28"/>
          <w:szCs w:val="28"/>
          <w:rFonts w:ascii="Calibri" w:eastAsia="Calibri" w:hAnsi="Calibri" w:hint="default"/>
        </w:rPr>
        <w:autoSpaceDE w:val="1"/>
        <w:autoSpaceDN w:val="1"/>
      </w:pP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right="720" w:left="0" w:firstLine="0"/>
        <w:rPr>
          <w:rtl/>
          <w:color w:val="auto"/>
          <w:position w:val="0"/>
          <w:sz w:val="28"/>
          <w:szCs w:val="28"/>
          <w:rFonts w:ascii="Calibri" w:eastAsia="Calibri" w:hAnsi="Calibri" w:hint="default"/>
        </w:rPr>
        <w:autoSpaceDE w:val="1"/>
        <w:autoSpaceDN w:val="1"/>
      </w:pPr>
    </w:p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rtl/>
          <w:color w:val="auto"/>
          <w:position w:val="0"/>
          <w:sz w:val="32"/>
          <w:szCs w:val="32"/>
          <w:rFonts w:ascii="Traditional Arabic" w:eastAsia="Traditional Arabic" w:hAnsi="Traditional Arabic" w:hint="default"/>
        </w:rPr>
        <w:autoSpaceDE w:val="1"/>
        <w:autoSpaceDN w:val="1"/>
      </w:pPr>
    </w:p>
    <w:sectPr>
      <w:bidi/>
      <w:type w:val="continuous"/>
      <w:footnotePr>
        <w:numFmt w:val="decimal"/>
        <w:numRestart w:val="eachPage"/>
        <w:numStart w:val="1"/>
        <w:pos w:val="pageBottom"/>
      </w:footnotePr>
      <w:pgSz w:w="11906" w:h="16838"/>
      <w:pgMar w:top="1440" w:left="1800" w:bottom="1440" w:right="1800" w:header="708" w:footer="708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raditional Arabic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Symbol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59"/>
      <w:bidi w:val="1"/>
      <w:numPr>
        <w:ilvl w:val="0"/>
        <w:numId w:val="0"/>
      </w:numPr>
      <w:jc w:val="left"/>
      <w:spacing w:lineRule="auto" w:line="240" w:before="0" w:after="0"/>
      <w:ind w:left="0" w:firstLine="0"/>
      <w:tabs>
        <w:tab w:val="center" w:pos="4153"/>
        <w:tab w:val="center" w:pos="4153"/>
        <w:tab w:val="center" w:pos="4153"/>
        <w:tab w:val="center" w:pos="4153"/>
        <w:tab w:val="right" w:pos="8306"/>
        <w:tab w:val="right" w:pos="8306"/>
        <w:tab w:val="right" w:pos="8306"/>
        <w:tab w:val="right" w:pos="8306"/>
      </w:tabs>
      <w:rPr>
        <w:color w:val="auto"/>
        <w:position w:val="0"/>
        <w:sz w:val="22"/>
        <w:szCs w:val="22"/>
        <w:rFonts w:ascii="Calibri" w:eastAsia="Calibri" w:hAnsi="Calibri" w:hint="default"/>
      </w:rPr>
      <w:autoSpaceDE w:val="1"/>
      <w:autoSpaceDN w:val="1"/>
    </w:pPr>
    <w:r>
      <w:rPr>
        <w:sz w:val="20"/>
      </w:rPr>
      <w:pict>
        <v:shapetype id="_x0000_t202" coordsize="21600,21600" o:spt="202" o:preferrelative="t" path="m,l,21600r21600,l21600,xe">
          <v:stroke joinstyle="miter"/>
        </v:shapetype>
        <v:shape id="_x0000_s3" type="#_x0000_t202" style="position:absolute;left:0;margin-left:0pt;mso-position-horizontal:center;mso-position-horizontal-relative:left-margin-area;margin-top:0pt;mso-position-vertical:top;mso-position-vertical-relative:bottom-margin-area;width:60.0pt;height:70.5pt;z-index:251624960" stroked="f" fillcolor="white" filled="t">
          <v:textbox style="" inset="7pt,4pt,7pt,4pt">
            <w:txbxContent>
              <w:p>
                <w:pPr>
                  <w:bidi w:val="1"/>
                  <w:numPr>
                    <w:ilvl w:val="0"/>
                    <w:numId w:val="0"/>
                  </w:numPr>
                  <w:jc w:val="center"/>
                  <w:spacing w:lineRule="auto" w:line="275" w:before="0" w:after="200"/>
                  <w:ind w:left="0" w:firstLine="0"/>
                  <w:rPr>
                    <w:color w:val="auto"/>
                    <w:position w:val="0"/>
                    <w:sz w:val="48"/>
                    <w:szCs w:val="48"/>
                    <w:rFonts w:ascii="Cambria" w:eastAsia="Cambria" w:hAnsi="Cambria" w:hint="default"/>
                  </w:rPr>
                  <w:autoSpaceDE w:val="1"/>
                  <w:autoSpaceDN w:val="1"/>
                </w:pPr>
                <w:r>
                  <w:rPr>
                    <w:color w:val="auto"/>
                    <w:position w:val="0"/>
                    <w:sz w:val="22"/>
                    <w:szCs w:val="22"/>
                    <w:rFonts w:ascii="Calibri" w:eastAsia="Calibri" w:hAnsi="Calibri" w:hint="default"/>
                  </w:rPr>
                  <w:fldChar w:fldCharType="begin"/>
                </w:r>
                <w:r>
                  <w:instrText>PAGE  \* MERGEFORMAT</w:instrText>
                </w:r>
                <w:r>
                  <w:fldChar w:fldCharType="separate"/>
                </w:r>
                <w:r>
                  <w:rPr>
                    <w:rtl/>
                    <w:color w:val="auto"/>
                    <w:position w:val="0"/>
                    <w:sz w:val="48"/>
                    <w:szCs w:val="48"/>
                    <w:rFonts w:ascii="Cambria" w:eastAsia="Cambria" w:hAnsi="Cambria" w:hint="default"/>
                  </w:rPr>
                  <w:t>25</w:t>
                </w:r>
                <w:r>
                  <w:rPr>
                    <w:color w:val="auto"/>
                    <w:position w:val="0"/>
                    <w:sz w:val="48"/>
                    <w:szCs w:val="48"/>
                    <w:rFonts w:ascii="Cambria" w:eastAsia="Cambria" w:hAnsi="Cambria" w:hint="default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PO152"/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rtl/>
          <w:color w:val="auto"/>
          <w:position w:val="0"/>
          <w:sz w:val="20"/>
          <w:szCs w:val="20"/>
          <w:rFonts w:ascii="Calibri" w:eastAsia="Calibri" w:hAnsi="Calibri" w:hint="default"/>
        </w:rPr>
        <w:autoSpaceDE w:val="1"/>
        <w:autoSpaceDN w:val="1"/>
      </w:pPr>
      <w:r>
        <w:rPr>
          <w:color w:val="auto"/>
          <w:position w:val="0"/>
          <w:sz w:val="20"/>
          <w:szCs w:val="20"/>
          <w:rFonts w:ascii="Calibri" w:eastAsia="Calibri" w:hAnsi="Calibri" w:hint="default"/>
        </w:rPr>
        <w:t>(</w:t>
      </w:r>
      <w:r>
        <w:rPr>
          <w:rStyle w:val="PO154"/>
          <w:vertAlign w:val="superscript"/>
          <w:color w:val="auto"/>
          <w:position w:val="0"/>
          <w:sz w:val="20"/>
          <w:szCs w:val="20"/>
          <w:rFonts w:ascii="Calibri" w:eastAsia="Calibri" w:hAnsi="Calibri" w:hint="default"/>
        </w:rPr>
        <w:footnoteRef/>
      </w:r>
      <w:r>
        <w:rPr>
          <w:color w:val="auto"/>
          <w:position w:val="0"/>
          <w:sz w:val="20"/>
          <w:szCs w:val="20"/>
          <w:rFonts w:ascii="Calibri" w:eastAsia="Calibri" w:hAnsi="Calibri" w:hint="default"/>
        </w:rPr>
        <w:t xml:space="preserve">)Law on Intemational Commercial Conciliation(2002), United Nations Publication ,Part 1  , Article 1 </w:t>
      </w:r>
      <w:r>
        <w:rPr>
          <w:color w:val="auto"/>
          <w:position w:val="0"/>
          <w:sz w:val="20"/>
          <w:szCs w:val="20"/>
          <w:rFonts w:ascii="Calibri" w:eastAsia="Calibri" w:hAnsi="Calibri" w:hint="default"/>
        </w:rPr>
        <w:t xml:space="preserve">UVCITRAL  Model</w:t>
      </w:r>
    </w:p>
  </w:footnote>
  <w:footnote w:id="2">
    <w:p>
      <w:pPr>
        <w:pStyle w:val="PO152"/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rtl/>
          <w:color w:val="auto"/>
          <w:position w:val="0"/>
          <w:sz w:val="20"/>
          <w:szCs w:val="20"/>
          <w:rFonts w:ascii="Calibri" w:eastAsia="Calibri" w:hAnsi="Calibri" w:hint="default"/>
        </w:rPr>
        <w:autoSpaceDE w:val="1"/>
        <w:autoSpaceDN w:val="1"/>
      </w:pPr>
      <w:r>
        <w:rPr>
          <w:color w:val="auto"/>
          <w:position w:val="0"/>
          <w:sz w:val="20"/>
          <w:szCs w:val="20"/>
          <w:rFonts w:ascii="Calibri" w:eastAsia="Calibri" w:hAnsi="Calibri" w:hint="default"/>
        </w:rPr>
        <w:t>(</w:t>
      </w:r>
      <w:r>
        <w:rPr>
          <w:rStyle w:val="PO154"/>
          <w:vertAlign w:val="superscript"/>
          <w:color w:val="auto"/>
          <w:position w:val="0"/>
          <w:sz w:val="20"/>
          <w:szCs w:val="20"/>
          <w:rFonts w:ascii="Calibri" w:eastAsia="Calibri" w:hAnsi="Calibri" w:hint="default"/>
        </w:rPr>
        <w:footnoteRef/>
      </w:r>
      <w:r>
        <w:rPr>
          <w:color w:val="auto"/>
          <w:position w:val="0"/>
          <w:sz w:val="20"/>
          <w:szCs w:val="20"/>
          <w:rFonts w:ascii="Calibri" w:eastAsia="Calibri" w:hAnsi="Calibri" w:hint="default"/>
        </w:rPr>
        <w:t>)</w:t>
      </w:r>
      <w:r>
        <w:rPr>
          <w:rtl/>
          <w:color w:val="auto"/>
          <w:position w:val="0"/>
          <w:sz w:val="20"/>
          <w:szCs w:val="20"/>
          <w:rFonts w:ascii="Calibri" w:eastAsia="Calibri" w:hAnsi="Calibri" w:hint="default"/>
        </w:rPr>
        <w:t xml:space="preserve">علاء أبارين , الوسائل البديلة لحل المنازعات التجارية , دراسة مقارنة , منشورات الحلبي الحقوقية , 2008, ص69.</w:t>
      </w:r>
    </w:p>
  </w:footnote>
  <w:footnote w:id="3">
    <w:p>
      <w:pPr>
        <w:pStyle w:val="PO152"/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color w:val="auto"/>
          <w:position w:val="0"/>
          <w:sz w:val="20"/>
          <w:szCs w:val="20"/>
          <w:rFonts w:ascii="Calibri" w:eastAsia="Calibri" w:hAnsi="Calibri" w:hint="default"/>
        </w:rPr>
        <w:autoSpaceDE w:val="1"/>
        <w:autoSpaceDN w:val="1"/>
      </w:pPr>
      <w:r>
        <w:rPr>
          <w:color w:val="auto"/>
          <w:position w:val="0"/>
          <w:sz w:val="20"/>
          <w:szCs w:val="20"/>
          <w:rFonts w:ascii="Calibri" w:eastAsia="Calibri" w:hAnsi="Calibri" w:hint="default"/>
        </w:rPr>
        <w:t>(</w:t>
      </w:r>
      <w:r>
        <w:rPr>
          <w:rStyle w:val="PO154"/>
          <w:vertAlign w:val="superscript"/>
          <w:color w:val="auto"/>
          <w:position w:val="0"/>
          <w:sz w:val="20"/>
          <w:szCs w:val="20"/>
          <w:rFonts w:ascii="Calibri" w:eastAsia="Calibri" w:hAnsi="Calibri" w:hint="default"/>
        </w:rPr>
        <w:footnoteRef/>
      </w:r>
      <w:r>
        <w:rPr>
          <w:color w:val="auto"/>
          <w:position w:val="0"/>
          <w:sz w:val="20"/>
          <w:szCs w:val="20"/>
          <w:rFonts w:ascii="Calibri" w:eastAsia="Calibri" w:hAnsi="Calibri" w:hint="default"/>
        </w:rPr>
        <w:t>)</w:t>
      </w:r>
      <w:r>
        <w:rPr>
          <w:rtl/>
          <w:color w:val="auto"/>
          <w:position w:val="0"/>
          <w:sz w:val="20"/>
          <w:szCs w:val="20"/>
          <w:rFonts w:ascii="Calibri" w:eastAsia="Calibri" w:hAnsi="Calibri" w:hint="default"/>
        </w:rPr>
        <w:t xml:space="preserve">د/ مصطفى المتولي قنديل , دور الاطراف في تسوية المنازعات العقدية , دار الجامعة الجديدة للنشر,  2005  بند 19  ومابعده , ص </w:t>
      </w:r>
      <w:r>
        <w:rPr>
          <w:rtl/>
          <w:color w:val="auto"/>
          <w:position w:val="0"/>
          <w:sz w:val="20"/>
          <w:szCs w:val="20"/>
          <w:rFonts w:ascii="Calibri" w:eastAsia="Calibri" w:hAnsi="Calibri" w:hint="default"/>
        </w:rPr>
        <w:t xml:space="preserve">58 ومابعدها.</w:t>
      </w:r>
    </w:p>
  </w:footnote>
  <w:footnote w:id="4">
    <w:p>
      <w:pPr>
        <w:pStyle w:val="PO152"/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rtl/>
          <w:color w:val="auto"/>
          <w:position w:val="0"/>
          <w:sz w:val="20"/>
          <w:szCs w:val="20"/>
          <w:rFonts w:ascii="Calibri" w:eastAsia="Calibri" w:hAnsi="Calibri" w:hint="default"/>
        </w:rPr>
        <w:autoSpaceDE w:val="1"/>
        <w:autoSpaceDN w:val="1"/>
      </w:pPr>
      <w:r>
        <w:rPr>
          <w:color w:val="auto"/>
          <w:position w:val="0"/>
          <w:sz w:val="20"/>
          <w:szCs w:val="20"/>
          <w:rFonts w:ascii="Calibri" w:eastAsia="Calibri" w:hAnsi="Calibri" w:hint="default"/>
        </w:rPr>
        <w:t>(</w:t>
      </w:r>
      <w:r>
        <w:rPr>
          <w:rStyle w:val="PO154"/>
          <w:vertAlign w:val="superscript"/>
          <w:color w:val="auto"/>
          <w:position w:val="0"/>
          <w:sz w:val="20"/>
          <w:szCs w:val="20"/>
          <w:rFonts w:ascii="Calibri" w:eastAsia="Calibri" w:hAnsi="Calibri" w:hint="default"/>
        </w:rPr>
        <w:footnoteRef/>
      </w:r>
      <w:r>
        <w:rPr>
          <w:color w:val="auto"/>
          <w:position w:val="0"/>
          <w:sz w:val="20"/>
          <w:szCs w:val="20"/>
          <w:rFonts w:ascii="Calibri" w:eastAsia="Calibri" w:hAnsi="Calibri" w:hint="default"/>
        </w:rPr>
        <w:t>)</w:t>
      </w:r>
      <w:r>
        <w:rPr>
          <w:rtl/>
          <w:color w:val="auto"/>
          <w:position w:val="0"/>
          <w:sz w:val="20"/>
          <w:szCs w:val="20"/>
          <w:rFonts w:ascii="Calibri" w:eastAsia="Calibri" w:hAnsi="Calibri" w:hint="default"/>
        </w:rPr>
        <w:t xml:space="preserve"> د/ احمد عبدالكريم سلامة , النظرية العامة للنظم الودية لتسوية المنازعات ( المفاوضات – الوساطة - التوفيق -  الصلح ) بديلا عن </w:t>
      </w:r>
      <w:r>
        <w:rPr>
          <w:rtl/>
          <w:color w:val="auto"/>
          <w:position w:val="0"/>
          <w:sz w:val="20"/>
          <w:szCs w:val="20"/>
          <w:rFonts w:ascii="Calibri" w:eastAsia="Calibri" w:hAnsi="Calibri" w:hint="default"/>
        </w:rPr>
        <w:t xml:space="preserve">المعترك القضائي , دار النهضة العربية 2013 ص 258.</w:t>
      </w:r>
    </w:p>
  </w:footnote>
  <w:footnote w:id="5">
    <w:p>
      <w:pPr>
        <w:pStyle w:val="PO152"/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rtl/>
          <w:color w:val="auto"/>
          <w:position w:val="0"/>
          <w:sz w:val="20"/>
          <w:szCs w:val="20"/>
          <w:rFonts w:ascii="Calibri" w:eastAsia="Calibri" w:hAnsi="Calibri" w:hint="default"/>
        </w:rPr>
        <w:autoSpaceDE w:val="1"/>
        <w:autoSpaceDN w:val="1"/>
      </w:pPr>
      <w:r>
        <w:rPr>
          <w:color w:val="auto"/>
          <w:position w:val="0"/>
          <w:sz w:val="20"/>
          <w:szCs w:val="20"/>
          <w:rFonts w:ascii="Calibri" w:eastAsia="Calibri" w:hAnsi="Calibri" w:hint="default"/>
        </w:rPr>
        <w:t>(</w:t>
      </w:r>
      <w:r>
        <w:rPr>
          <w:rStyle w:val="PO154"/>
          <w:vertAlign w:val="superscript"/>
          <w:color w:val="auto"/>
          <w:position w:val="0"/>
          <w:sz w:val="20"/>
          <w:szCs w:val="20"/>
          <w:rFonts w:ascii="Calibri" w:eastAsia="Calibri" w:hAnsi="Calibri" w:hint="default"/>
        </w:rPr>
        <w:footnoteRef/>
      </w:r>
      <w:r>
        <w:rPr>
          <w:color w:val="auto"/>
          <w:position w:val="0"/>
          <w:sz w:val="20"/>
          <w:szCs w:val="20"/>
          <w:rFonts w:ascii="Calibri" w:eastAsia="Calibri" w:hAnsi="Calibri" w:hint="default"/>
        </w:rPr>
        <w:t>)</w:t>
      </w:r>
      <w:r>
        <w:rPr>
          <w:rtl/>
          <w:color w:val="auto"/>
          <w:position w:val="0"/>
          <w:sz w:val="20"/>
          <w:szCs w:val="20"/>
          <w:rFonts w:ascii="Calibri" w:eastAsia="Calibri" w:hAnsi="Calibri" w:hint="default"/>
        </w:rPr>
        <w:t xml:space="preserve">المرجع السابق ص 258 و 259.</w:t>
      </w:r>
    </w:p>
  </w:footnote>
  <w:footnote w:id="6">
    <w:p>
      <w:pPr>
        <w:pStyle w:val="PO152"/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color w:val="auto"/>
          <w:position w:val="0"/>
          <w:sz w:val="20"/>
          <w:szCs w:val="20"/>
          <w:rFonts w:ascii="Calibri" w:eastAsia="Calibri" w:hAnsi="Calibri" w:hint="default"/>
        </w:rPr>
        <w:autoSpaceDE w:val="1"/>
        <w:autoSpaceDN w:val="1"/>
      </w:pPr>
      <w:r>
        <w:rPr>
          <w:rStyle w:val="PO154"/>
          <w:vertAlign w:val="superscript"/>
          <w:color w:val="auto"/>
          <w:position w:val="0"/>
          <w:sz w:val="20"/>
          <w:szCs w:val="20"/>
          <w:rFonts w:ascii="Calibri" w:eastAsia="Calibri" w:hAnsi="Calibri" w:hint="default"/>
        </w:rPr>
        <w:footnoteRef/>
      </w:r>
      <w:r>
        <w:rPr>
          <w:color w:val="auto"/>
          <w:position w:val="0"/>
          <w:sz w:val="20"/>
          <w:szCs w:val="20"/>
          <w:rFonts w:ascii="Calibri" w:eastAsia="Calibri" w:hAnsi="Calibri" w:hint="default"/>
        </w:rPr>
        <w:t>)</w:t>
      </w:r>
      <w:r>
        <w:rPr>
          <w:rtl/>
          <w:color w:val="auto"/>
          <w:position w:val="0"/>
          <w:sz w:val="20"/>
          <w:szCs w:val="20"/>
          <w:rFonts w:ascii="Calibri" w:eastAsia="Calibri" w:hAnsi="Calibri" w:hint="default"/>
        </w:rPr>
        <w:t>)</w:t>
      </w:r>
      <w:r>
        <w:rPr>
          <w:color w:val="auto"/>
          <w:position w:val="0"/>
          <w:sz w:val="20"/>
          <w:szCs w:val="20"/>
          <w:rFonts w:ascii="Calibri" w:eastAsia="Calibri" w:hAnsi="Calibri" w:hint="default"/>
        </w:rPr>
        <w:t xml:space="preserve">Diaz, Luis Miguel, Mediation Year 2051? , 56 Dis. Res .J.24,2001,article </w:t>
      </w:r>
    </w:p>
    <w:p>
      <w:pPr>
        <w:pStyle w:val="PO152"/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rtl/>
          <w:color w:val="auto"/>
          <w:position w:val="0"/>
          <w:sz w:val="20"/>
          <w:szCs w:val="20"/>
          <w:rFonts w:ascii="Calibri" w:eastAsia="Calibri" w:hAnsi="Calibri" w:hint="default"/>
        </w:rPr>
        <w:autoSpaceDE w:val="1"/>
        <w:autoSpaceDN w:val="1"/>
      </w:pPr>
      <w:r>
        <w:rPr>
          <w:color w:val="auto"/>
          <w:position w:val="0"/>
          <w:sz w:val="20"/>
          <w:szCs w:val="20"/>
          <w:rFonts w:ascii="Calibri" w:eastAsia="Calibri" w:hAnsi="Calibri" w:hint="default"/>
        </w:rPr>
        <w:t xml:space="preserve">http;//search.proqest.com </w:t>
      </w:r>
    </w:p>
  </w:footnote>
  <w:footnote w:id="7">
    <w:p>
      <w:pPr>
        <w:pStyle w:val="PO152"/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rtl/>
          <w:color w:val="auto"/>
          <w:position w:val="0"/>
          <w:sz w:val="20"/>
          <w:szCs w:val="20"/>
          <w:rFonts w:ascii="Calibri" w:eastAsia="Calibri" w:hAnsi="Calibri" w:hint="default"/>
        </w:rPr>
        <w:autoSpaceDE w:val="1"/>
        <w:autoSpaceDN w:val="1"/>
      </w:pPr>
      <w:r>
        <w:rPr>
          <w:rStyle w:val="PO154"/>
          <w:vertAlign w:val="superscript"/>
          <w:color w:val="auto"/>
          <w:position w:val="0"/>
          <w:sz w:val="20"/>
          <w:szCs w:val="20"/>
          <w:rFonts w:ascii="Calibri" w:eastAsia="Calibri" w:hAnsi="Calibri" w:hint="default"/>
        </w:rPr>
        <w:footnoteRef/>
      </w:r>
      <w:r>
        <w:rPr>
          <w:color w:val="auto"/>
          <w:position w:val="0"/>
          <w:sz w:val="20"/>
          <w:szCs w:val="20"/>
          <w:rFonts w:ascii="Calibri" w:eastAsia="Calibri" w:hAnsi="Calibri" w:hint="default"/>
        </w:rPr>
        <w:t>)</w:t>
      </w:r>
      <w:r>
        <w:rPr>
          <w:rtl/>
          <w:color w:val="auto"/>
          <w:position w:val="0"/>
          <w:sz w:val="20"/>
          <w:szCs w:val="20"/>
          <w:rFonts w:ascii="Calibri" w:eastAsia="Calibri" w:hAnsi="Calibri" w:hint="default"/>
        </w:rPr>
        <w:t xml:space="preserve">)أ.د / الخير قشي . الوسائل التحاكمية وغير التحاكمية لتسوية المنازعات الدولية , المؤسسة الجامعية للدراسات والنشر والتوزيع , </w:t>
      </w:r>
      <w:r>
        <w:rPr>
          <w:rtl/>
          <w:color w:val="auto"/>
          <w:position w:val="0"/>
          <w:sz w:val="20"/>
          <w:szCs w:val="20"/>
          <w:rFonts w:ascii="Calibri" w:eastAsia="Calibri" w:hAnsi="Calibri" w:hint="default"/>
        </w:rPr>
        <w:t xml:space="preserve">1999 ص29</w:t>
      </w:r>
    </w:p>
  </w:footnote>
  <w:footnote w:id="8">
    <w:p>
      <w:pPr>
        <w:pStyle w:val="PO152"/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rtl/>
          <w:color w:val="auto"/>
          <w:position w:val="0"/>
          <w:sz w:val="20"/>
          <w:szCs w:val="20"/>
          <w:rFonts w:ascii="Calibri" w:eastAsia="Calibri" w:hAnsi="Calibri" w:hint="default"/>
        </w:rPr>
        <w:autoSpaceDE w:val="1"/>
        <w:autoSpaceDN w:val="1"/>
      </w:pPr>
      <w:r>
        <w:rPr>
          <w:rStyle w:val="PO154"/>
          <w:vertAlign w:val="superscript"/>
          <w:color w:val="auto"/>
          <w:position w:val="0"/>
          <w:sz w:val="20"/>
          <w:szCs w:val="20"/>
          <w:rFonts w:ascii="Calibri" w:eastAsia="Calibri" w:hAnsi="Calibri" w:hint="default"/>
        </w:rPr>
        <w:footnoteRef/>
      </w:r>
      <w:r>
        <w:rPr>
          <w:color w:val="auto"/>
          <w:position w:val="0"/>
          <w:sz w:val="20"/>
          <w:szCs w:val="20"/>
          <w:rFonts w:ascii="Calibri" w:eastAsia="Calibri" w:hAnsi="Calibri" w:hint="default"/>
        </w:rPr>
        <w:t>)</w:t>
      </w:r>
      <w:r>
        <w:rPr>
          <w:rtl/>
          <w:color w:val="auto"/>
          <w:position w:val="0"/>
          <w:sz w:val="20"/>
          <w:szCs w:val="20"/>
          <w:rFonts w:ascii="Calibri" w:eastAsia="Calibri" w:hAnsi="Calibri" w:hint="default"/>
        </w:rPr>
        <w:t xml:space="preserve">)أ.د الخير قشي , المرجع السابق ص98.</w:t>
      </w:r>
    </w:p>
  </w:footnote>
  <w:footnote w:id="9">
    <w:p>
      <w:pPr>
        <w:pStyle w:val="PO152"/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color w:val="auto"/>
          <w:position w:val="0"/>
          <w:sz w:val="20"/>
          <w:szCs w:val="20"/>
          <w:rFonts w:ascii="Calibri" w:eastAsia="Calibri" w:hAnsi="Calibri" w:hint="default"/>
        </w:rPr>
        <w:autoSpaceDE w:val="1"/>
        <w:autoSpaceDN w:val="1"/>
      </w:pPr>
      <w:r>
        <w:rPr>
          <w:color w:val="auto"/>
          <w:position w:val="0"/>
          <w:sz w:val="20"/>
          <w:szCs w:val="20"/>
          <w:rFonts w:ascii="Calibri" w:eastAsia="Calibri" w:hAnsi="Calibri" w:hint="default"/>
        </w:rPr>
        <w:t>(</w:t>
      </w:r>
      <w:r>
        <w:rPr>
          <w:rStyle w:val="PO154"/>
          <w:vertAlign w:val="superscript"/>
          <w:color w:val="auto"/>
          <w:position w:val="0"/>
          <w:sz w:val="20"/>
          <w:szCs w:val="20"/>
          <w:rFonts w:ascii="Calibri" w:eastAsia="Calibri" w:hAnsi="Calibri" w:hint="default"/>
        </w:rPr>
        <w:footnoteRef/>
      </w:r>
      <w:r>
        <w:rPr>
          <w:color w:val="auto"/>
          <w:position w:val="0"/>
          <w:sz w:val="20"/>
          <w:szCs w:val="20"/>
          <w:rFonts w:ascii="Calibri" w:eastAsia="Calibri" w:hAnsi="Calibri" w:hint="default"/>
        </w:rPr>
        <w:t>)</w:t>
      </w:r>
      <w:r>
        <w:rPr>
          <w:rtl/>
          <w:color w:val="auto"/>
          <w:position w:val="0"/>
          <w:sz w:val="20"/>
          <w:szCs w:val="20"/>
          <w:rFonts w:ascii="Calibri" w:eastAsia="Calibri" w:hAnsi="Calibri" w:hint="default"/>
        </w:rPr>
        <w:t xml:space="preserve">أ.د الخير قشي , المرجع السابق ص 179.</w:t>
      </w:r>
    </w:p>
  </w:footnote>
  <w:footnote w:id="10">
    <w:p>
      <w:pPr>
        <w:pStyle w:val="PO152"/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color w:val="auto"/>
          <w:position w:val="0"/>
          <w:sz w:val="20"/>
          <w:szCs w:val="20"/>
          <w:rFonts w:ascii="Calibri" w:eastAsia="Calibri" w:hAnsi="Calibri" w:hint="default"/>
        </w:rPr>
        <w:autoSpaceDE w:val="1"/>
        <w:autoSpaceDN w:val="1"/>
      </w:pPr>
      <w:r>
        <w:rPr>
          <w:color w:val="auto"/>
          <w:position w:val="0"/>
          <w:sz w:val="20"/>
          <w:szCs w:val="20"/>
          <w:rFonts w:ascii="Calibri" w:eastAsia="Calibri" w:hAnsi="Calibri" w:hint="default"/>
        </w:rPr>
        <w:t>(</w:t>
      </w:r>
      <w:r>
        <w:rPr>
          <w:rStyle w:val="PO154"/>
          <w:vertAlign w:val="superscript"/>
          <w:color w:val="auto"/>
          <w:position w:val="0"/>
          <w:sz w:val="20"/>
          <w:szCs w:val="20"/>
          <w:rFonts w:ascii="Calibri" w:eastAsia="Calibri" w:hAnsi="Calibri" w:hint="default"/>
        </w:rPr>
        <w:footnoteRef/>
      </w:r>
      <w:r>
        <w:rPr>
          <w:color w:val="auto"/>
          <w:position w:val="0"/>
          <w:sz w:val="20"/>
          <w:szCs w:val="20"/>
          <w:rFonts w:ascii="Calibri" w:eastAsia="Calibri" w:hAnsi="Calibri" w:hint="default"/>
        </w:rPr>
        <w:t>)</w:t>
      </w:r>
      <w:r>
        <w:rPr>
          <w:rtl/>
          <w:color w:val="auto"/>
          <w:position w:val="0"/>
          <w:sz w:val="20"/>
          <w:szCs w:val="20"/>
          <w:rFonts w:ascii="Calibri" w:eastAsia="Calibri" w:hAnsi="Calibri" w:hint="default"/>
        </w:rPr>
        <w:t xml:space="preserve">د.محمد ابراهيم موسى , التوفيق التجاري الدولي , وتغيير النظرة السائدة حول سبل تسوية المنازعات التجارية الدولية , دار الجامعة </w:t>
      </w:r>
      <w:r>
        <w:rPr>
          <w:rtl/>
          <w:color w:val="auto"/>
          <w:position w:val="0"/>
          <w:sz w:val="20"/>
          <w:szCs w:val="20"/>
          <w:rFonts w:ascii="Calibri" w:eastAsia="Calibri" w:hAnsi="Calibri" w:hint="default"/>
        </w:rPr>
        <w:t xml:space="preserve">الجديدة للنشر ,2005 , ص63.</w:t>
      </w:r>
    </w:p>
  </w:footnote>
  <w:footnote w:id="11">
    <w:p>
      <w:pPr>
        <w:pStyle w:val="PO152"/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color w:val="auto"/>
          <w:position w:val="0"/>
          <w:sz w:val="20"/>
          <w:szCs w:val="20"/>
          <w:rFonts w:ascii="Calibri" w:eastAsia="Calibri" w:hAnsi="Calibri" w:hint="default"/>
        </w:rPr>
        <w:autoSpaceDE w:val="1"/>
        <w:autoSpaceDN w:val="1"/>
      </w:pPr>
      <w:r>
        <w:rPr>
          <w:color w:val="auto"/>
          <w:position w:val="0"/>
          <w:sz w:val="20"/>
          <w:szCs w:val="20"/>
          <w:rFonts w:ascii="Calibri" w:eastAsia="Calibri" w:hAnsi="Calibri" w:hint="default"/>
        </w:rPr>
        <w:t>(</w:t>
      </w:r>
      <w:r>
        <w:rPr>
          <w:rStyle w:val="PO154"/>
          <w:vertAlign w:val="superscript"/>
          <w:color w:val="auto"/>
          <w:position w:val="0"/>
          <w:sz w:val="20"/>
          <w:szCs w:val="20"/>
          <w:rFonts w:ascii="Calibri" w:eastAsia="Calibri" w:hAnsi="Calibri" w:hint="default"/>
        </w:rPr>
        <w:footnoteRef/>
      </w:r>
      <w:r>
        <w:rPr>
          <w:color w:val="auto"/>
          <w:position w:val="0"/>
          <w:sz w:val="20"/>
          <w:szCs w:val="20"/>
          <w:rFonts w:ascii="Calibri" w:eastAsia="Calibri" w:hAnsi="Calibri" w:hint="default"/>
        </w:rPr>
        <w:t>)</w:t>
      </w:r>
      <w:r>
        <w:rPr>
          <w:rtl/>
          <w:color w:val="auto"/>
          <w:position w:val="0"/>
          <w:sz w:val="20"/>
          <w:szCs w:val="20"/>
          <w:rFonts w:ascii="Calibri" w:eastAsia="Calibri" w:hAnsi="Calibri" w:hint="default"/>
        </w:rPr>
        <w:t xml:space="preserve">د. عبدالحميد الشواربي – التحكيم والتصالح في ضوء الفقه والقضاء – الطبعة الثانية , منشأة المعرفة  بالاسكندرية 1999,ص21.</w:t>
      </w:r>
    </w:p>
  </w:footnote>
  <w:footnote w:id="12">
    <w:p>
      <w:pPr>
        <w:pStyle w:val="PO152"/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rtl/>
          <w:color w:val="auto"/>
          <w:position w:val="0"/>
          <w:sz w:val="20"/>
          <w:szCs w:val="20"/>
          <w:rFonts w:ascii="Calibri" w:eastAsia="Calibri" w:hAnsi="Calibri" w:hint="default"/>
        </w:rPr>
        <w:autoSpaceDE w:val="1"/>
        <w:autoSpaceDN w:val="1"/>
      </w:pPr>
      <w:r>
        <w:rPr>
          <w:color w:val="auto"/>
          <w:position w:val="0"/>
          <w:sz w:val="20"/>
          <w:szCs w:val="20"/>
          <w:rFonts w:ascii="Calibri" w:eastAsia="Calibri" w:hAnsi="Calibri" w:hint="default"/>
        </w:rPr>
        <w:t>(</w:t>
      </w:r>
      <w:r>
        <w:rPr>
          <w:rStyle w:val="PO154"/>
          <w:vertAlign w:val="superscript"/>
          <w:color w:val="auto"/>
          <w:position w:val="0"/>
          <w:sz w:val="20"/>
          <w:szCs w:val="20"/>
          <w:rFonts w:ascii="Calibri" w:eastAsia="Calibri" w:hAnsi="Calibri" w:hint="default"/>
        </w:rPr>
        <w:footnoteRef/>
      </w:r>
      <w:r>
        <w:rPr>
          <w:color w:val="auto"/>
          <w:position w:val="0"/>
          <w:sz w:val="20"/>
          <w:szCs w:val="20"/>
          <w:rFonts w:ascii="Calibri" w:eastAsia="Calibri" w:hAnsi="Calibri" w:hint="default"/>
        </w:rPr>
        <w:t>)</w:t>
      </w:r>
      <w:r>
        <w:rPr>
          <w:rtl/>
          <w:color w:val="auto"/>
          <w:position w:val="0"/>
          <w:sz w:val="20"/>
          <w:szCs w:val="20"/>
          <w:rFonts w:ascii="Calibri" w:eastAsia="Calibri" w:hAnsi="Calibri" w:hint="default"/>
        </w:rPr>
        <w:t xml:space="preserve">د. أحمد عبدالكريم سلامه , قانون التحكيم التجاري الدولي والداخلي , تنظير وتطبيق مقارن , بدون ناشر , ملخص في جامعة حقوق </w:t>
      </w:r>
      <w:r>
        <w:rPr>
          <w:rtl/>
          <w:color w:val="auto"/>
          <w:position w:val="0"/>
          <w:sz w:val="20"/>
          <w:szCs w:val="20"/>
          <w:rFonts w:ascii="Calibri" w:eastAsia="Calibri" w:hAnsi="Calibri" w:hint="default"/>
        </w:rPr>
        <w:t xml:space="preserve">حلوان , ص47.</w:t>
      </w:r>
    </w:p>
  </w:footnote>
  <w:footnote w:id="13">
    <w:p>
      <w:pPr>
        <w:pStyle w:val="PO152"/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color w:val="auto"/>
          <w:position w:val="0"/>
          <w:sz w:val="20"/>
          <w:szCs w:val="20"/>
          <w:rFonts w:ascii="Calibri" w:eastAsia="Calibri" w:hAnsi="Calibri" w:hint="default"/>
        </w:rPr>
        <w:autoSpaceDE w:val="1"/>
        <w:autoSpaceDN w:val="1"/>
      </w:pPr>
      <w:r>
        <w:rPr>
          <w:color w:val="auto"/>
          <w:position w:val="0"/>
          <w:sz w:val="20"/>
          <w:szCs w:val="20"/>
          <w:rFonts w:ascii="Calibri" w:eastAsia="Calibri" w:hAnsi="Calibri" w:hint="default"/>
        </w:rPr>
        <w:t>(</w:t>
      </w:r>
      <w:r>
        <w:rPr>
          <w:rStyle w:val="PO154"/>
          <w:vertAlign w:val="superscript"/>
          <w:color w:val="auto"/>
          <w:position w:val="0"/>
          <w:sz w:val="20"/>
          <w:szCs w:val="20"/>
          <w:rFonts w:ascii="Calibri" w:eastAsia="Calibri" w:hAnsi="Calibri" w:hint="default"/>
        </w:rPr>
        <w:footnoteRef/>
      </w:r>
      <w:r>
        <w:rPr>
          <w:color w:val="auto"/>
          <w:position w:val="0"/>
          <w:sz w:val="20"/>
          <w:szCs w:val="20"/>
          <w:rFonts w:ascii="Calibri" w:eastAsia="Calibri" w:hAnsi="Calibri" w:hint="default"/>
        </w:rPr>
        <w:t>)</w:t>
      </w:r>
      <w:r>
        <w:rPr>
          <w:rtl/>
          <w:color w:val="auto"/>
          <w:position w:val="0"/>
          <w:sz w:val="20"/>
          <w:szCs w:val="20"/>
          <w:rFonts w:ascii="Calibri" w:eastAsia="Calibri" w:hAnsi="Calibri" w:hint="default"/>
        </w:rPr>
        <w:t xml:space="preserve">ا.د. أحمد عبدالكريم سلامه , النظرية العامة للنظم الودية لتسوية المنازعات , المرجع السابق ص 261.</w:t>
      </w:r>
    </w:p>
  </w:footnote>
  <w:footnote w:id="14">
    <w:p>
      <w:pPr>
        <w:pStyle w:val="PO152"/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rtl/>
          <w:color w:val="auto"/>
          <w:position w:val="0"/>
          <w:sz w:val="20"/>
          <w:szCs w:val="20"/>
          <w:rFonts w:ascii="Calibri" w:eastAsia="Calibri" w:hAnsi="Calibri" w:hint="default"/>
        </w:rPr>
        <w:autoSpaceDE w:val="1"/>
        <w:autoSpaceDN w:val="1"/>
      </w:pPr>
      <w:r>
        <w:rPr>
          <w:rStyle w:val="PO154"/>
          <w:vertAlign w:val="superscript"/>
          <w:color w:val="auto"/>
          <w:position w:val="0"/>
          <w:sz w:val="20"/>
          <w:szCs w:val="20"/>
          <w:rFonts w:ascii="Calibri" w:eastAsia="Calibri" w:hAnsi="Calibri" w:hint="default"/>
        </w:rPr>
        <w:footnoteRef/>
      </w:r>
      <w:r>
        <w:rPr>
          <w:color w:val="auto"/>
          <w:position w:val="0"/>
          <w:sz w:val="20"/>
          <w:szCs w:val="20"/>
          <w:rFonts w:ascii="Calibri" w:eastAsia="Calibri" w:hAnsi="Calibri" w:hint="default"/>
        </w:rPr>
        <w:t>)</w:t>
      </w:r>
      <w:r>
        <w:rPr>
          <w:rtl/>
          <w:color w:val="auto"/>
          <w:position w:val="0"/>
          <w:sz w:val="20"/>
          <w:szCs w:val="20"/>
          <w:rFonts w:ascii="Calibri" w:eastAsia="Calibri" w:hAnsi="Calibri" w:hint="default"/>
        </w:rPr>
        <w:t xml:space="preserve">) ا.د. أحمد عبدالكريم سلامه , النظرية العامة للنظم الودية لتسوية المنازعات , المرجع السابق ص 261 وص 262.</w:t>
      </w:r>
    </w:p>
    <w:p>
      <w:pPr>
        <w:pStyle w:val="PO152"/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color w:val="auto"/>
          <w:position w:val="0"/>
          <w:sz w:val="20"/>
          <w:szCs w:val="20"/>
          <w:rFonts w:ascii="Calibri" w:eastAsia="Calibri" w:hAnsi="Calibri" w:hint="default"/>
        </w:rPr>
        <w:autoSpaceDE w:val="1"/>
        <w:autoSpaceDN w:val="1"/>
      </w:pPr>
    </w:p>
  </w:footnote>
  <w:footnote w:id="15">
    <w:p>
      <w:pPr>
        <w:pStyle w:val="PO152"/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color w:val="auto"/>
          <w:position w:val="0"/>
          <w:sz w:val="20"/>
          <w:szCs w:val="20"/>
          <w:rFonts w:ascii="Calibri" w:eastAsia="Calibri" w:hAnsi="Calibri" w:hint="default"/>
        </w:rPr>
        <w:autoSpaceDE w:val="1"/>
        <w:autoSpaceDN w:val="1"/>
      </w:pPr>
      <w:r>
        <w:rPr>
          <w:rStyle w:val="PO154"/>
          <w:vertAlign w:val="superscript"/>
          <w:color w:val="auto"/>
          <w:position w:val="0"/>
          <w:sz w:val="20"/>
          <w:szCs w:val="20"/>
          <w:rFonts w:ascii="Calibri" w:eastAsia="Calibri" w:hAnsi="Calibri" w:hint="default"/>
        </w:rPr>
        <w:footnoteRef/>
      </w:r>
      <w:r>
        <w:rPr>
          <w:color w:val="auto"/>
          <w:position w:val="0"/>
          <w:sz w:val="20"/>
          <w:szCs w:val="20"/>
          <w:rFonts w:ascii="Calibri" w:eastAsia="Calibri" w:hAnsi="Calibri" w:hint="default"/>
        </w:rPr>
        <w:t>)</w:t>
      </w:r>
      <w:r>
        <w:rPr>
          <w:rtl/>
          <w:color w:val="auto"/>
          <w:position w:val="0"/>
          <w:sz w:val="20"/>
          <w:szCs w:val="20"/>
          <w:rFonts w:ascii="Calibri" w:eastAsia="Calibri" w:hAnsi="Calibri" w:hint="default"/>
        </w:rPr>
        <w:t xml:space="preserve">)خيري عبدالفتاح البتانوني , الوساطة كوسيلة بديلة لفض المنازعات المدنية والتجارية, دار النهضة العربية , 2012 ص264.</w:t>
      </w:r>
    </w:p>
  </w:footnote>
  <w:footnote w:id="16">
    <w:p>
      <w:pPr>
        <w:pStyle w:val="PO152"/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color w:val="auto"/>
          <w:position w:val="0"/>
          <w:sz w:val="20"/>
          <w:szCs w:val="20"/>
          <w:rFonts w:ascii="Calibri" w:eastAsia="Calibri" w:hAnsi="Calibri" w:hint="default"/>
        </w:rPr>
        <w:autoSpaceDE w:val="1"/>
        <w:autoSpaceDN w:val="1"/>
      </w:pPr>
      <w:r>
        <w:rPr>
          <w:rStyle w:val="PO154"/>
          <w:vertAlign w:val="superscript"/>
          <w:color w:val="auto"/>
          <w:position w:val="0"/>
          <w:sz w:val="20"/>
          <w:szCs w:val="20"/>
          <w:rFonts w:ascii="Calibri" w:eastAsia="Calibri" w:hAnsi="Calibri" w:hint="default"/>
        </w:rPr>
        <w:footnoteRef/>
      </w:r>
      <w:r>
        <w:rPr>
          <w:color w:val="auto"/>
          <w:position w:val="0"/>
          <w:sz w:val="20"/>
          <w:szCs w:val="20"/>
          <w:rFonts w:ascii="Calibri" w:eastAsia="Calibri" w:hAnsi="Calibri" w:hint="default"/>
        </w:rPr>
        <w:t>)</w:t>
      </w:r>
      <w:r>
        <w:rPr>
          <w:rtl/>
          <w:color w:val="auto"/>
          <w:position w:val="0"/>
          <w:sz w:val="20"/>
          <w:szCs w:val="20"/>
          <w:rFonts w:ascii="Calibri" w:eastAsia="Calibri" w:hAnsi="Calibri" w:hint="default"/>
        </w:rPr>
        <w:t xml:space="preserve">)ا.د/ احمد عبدالكريم سلامة , النطرية العامة للنظم الودية لتسوية المنازعات , المرجع السابق , ص 265.</w:t>
      </w:r>
    </w:p>
  </w:footnote>
  <w:footnote w:id="17">
    <w:p>
      <w:pPr>
        <w:pStyle w:val="PO152"/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rtl/>
          <w:color w:val="auto"/>
          <w:position w:val="0"/>
          <w:sz w:val="20"/>
          <w:szCs w:val="20"/>
          <w:rFonts w:ascii="Calibri" w:eastAsia="Calibri" w:hAnsi="Calibri" w:hint="default"/>
        </w:rPr>
        <w:autoSpaceDE w:val="1"/>
        <w:autoSpaceDN w:val="1"/>
      </w:pPr>
      <w:r>
        <w:rPr>
          <w:rStyle w:val="PO154"/>
          <w:vertAlign w:val="superscript"/>
          <w:color w:val="auto"/>
          <w:position w:val="0"/>
          <w:sz w:val="20"/>
          <w:szCs w:val="20"/>
          <w:rFonts w:ascii="Calibri" w:eastAsia="Calibri" w:hAnsi="Calibri" w:hint="default"/>
        </w:rPr>
        <w:footnoteRef/>
      </w:r>
      <w:r>
        <w:rPr>
          <w:color w:val="auto"/>
          <w:position w:val="0"/>
          <w:sz w:val="20"/>
          <w:szCs w:val="20"/>
          <w:rFonts w:ascii="Calibri" w:eastAsia="Calibri" w:hAnsi="Calibri" w:hint="default"/>
        </w:rPr>
        <w:t>)</w:t>
      </w:r>
      <w:r>
        <w:rPr>
          <w:rtl/>
          <w:color w:val="auto"/>
          <w:position w:val="0"/>
          <w:sz w:val="20"/>
          <w:szCs w:val="20"/>
          <w:rFonts w:ascii="Calibri" w:eastAsia="Calibri" w:hAnsi="Calibri" w:hint="default"/>
        </w:rPr>
        <w:t xml:space="preserve">)د. علي عوض حسن , التعليق على القانون رقم 7 لسنة 2000 بشأن التوفيق في المنازعات , دار المطبوعات الجامعية , 2001 ص </w:t>
      </w:r>
      <w:r>
        <w:rPr>
          <w:rtl/>
          <w:color w:val="auto"/>
          <w:position w:val="0"/>
          <w:sz w:val="20"/>
          <w:szCs w:val="20"/>
          <w:rFonts w:ascii="Calibri" w:eastAsia="Calibri" w:hAnsi="Calibri" w:hint="default"/>
        </w:rPr>
        <w:t xml:space="preserve">10 و11 وراجع اختيار طرق التحكيم ومفهومه , مجلة المحاماة العدد الاول 2001 ص 567.</w:t>
      </w:r>
    </w:p>
  </w:footnote>
  <w:footnote w:id="18">
    <w:p>
      <w:pPr>
        <w:pStyle w:val="PO152"/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rtl/>
          <w:color w:val="auto"/>
          <w:position w:val="0"/>
          <w:sz w:val="20"/>
          <w:szCs w:val="20"/>
          <w:rFonts w:ascii="Calibri" w:eastAsia="Calibri" w:hAnsi="Calibri" w:hint="default"/>
        </w:rPr>
        <w:autoSpaceDE w:val="1"/>
        <w:autoSpaceDN w:val="1"/>
      </w:pPr>
      <w:r>
        <w:rPr>
          <w:color w:val="auto"/>
          <w:position w:val="0"/>
          <w:sz w:val="20"/>
          <w:szCs w:val="20"/>
          <w:rFonts w:ascii="Calibri" w:eastAsia="Calibri" w:hAnsi="Calibri" w:hint="default"/>
        </w:rPr>
        <w:t>(</w:t>
      </w:r>
      <w:r>
        <w:rPr>
          <w:rStyle w:val="PO154"/>
          <w:vertAlign w:val="superscript"/>
          <w:color w:val="auto"/>
          <w:position w:val="0"/>
          <w:sz w:val="20"/>
          <w:szCs w:val="20"/>
          <w:rFonts w:ascii="Calibri" w:eastAsia="Calibri" w:hAnsi="Calibri" w:hint="default"/>
        </w:rPr>
        <w:footnoteRef/>
      </w:r>
      <w:r>
        <w:rPr>
          <w:color w:val="auto"/>
          <w:position w:val="0"/>
          <w:sz w:val="20"/>
          <w:szCs w:val="20"/>
          <w:rFonts w:ascii="Calibri" w:eastAsia="Calibri" w:hAnsi="Calibri" w:hint="default"/>
        </w:rPr>
        <w:t>)</w:t>
      </w:r>
      <w:r>
        <w:rPr>
          <w:rtl/>
          <w:color w:val="auto"/>
          <w:position w:val="0"/>
          <w:sz w:val="20"/>
          <w:szCs w:val="20"/>
          <w:rFonts w:ascii="Calibri" w:eastAsia="Calibri" w:hAnsi="Calibri" w:hint="default"/>
        </w:rPr>
        <w:t xml:space="preserve">الاتحاد الدولي العربي للتحكيم  </w:t>
      </w:r>
      <w:r>
        <w:rPr>
          <w:color w:val="auto"/>
          <w:position w:val="0"/>
          <w:sz w:val="20"/>
          <w:szCs w:val="20"/>
          <w:rFonts w:ascii="Calibri" w:eastAsia="Calibri" w:hAnsi="Calibri" w:hint="default"/>
        </w:rPr>
        <w:t xml:space="preserve">http:/ www.aifa.eg.com/Hom/AllDynamic?pagename=Importance</w:t>
      </w:r>
      <w:r>
        <w:rPr>
          <w:rtl/>
          <w:color w:val="auto"/>
          <w:position w:val="0"/>
          <w:sz w:val="20"/>
          <w:szCs w:val="20"/>
          <w:rFonts w:ascii="Calibri" w:eastAsia="Calibri" w:hAnsi="Calibri" w:hint="default"/>
        </w:rPr>
        <w:t>.</w:t>
      </w:r>
    </w:p>
  </w:footnote>
  <w:footnote w:id="19">
    <w:p>
      <w:pPr>
        <w:pStyle w:val="PO152"/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color w:val="auto"/>
          <w:position w:val="0"/>
          <w:sz w:val="20"/>
          <w:szCs w:val="20"/>
          <w:rFonts w:ascii="Calibri" w:eastAsia="Calibri" w:hAnsi="Calibri" w:hint="default"/>
        </w:rPr>
        <w:autoSpaceDE w:val="1"/>
        <w:autoSpaceDN w:val="1"/>
      </w:pPr>
      <w:r>
        <w:rPr>
          <w:color w:val="auto"/>
          <w:position w:val="0"/>
          <w:sz w:val="20"/>
          <w:szCs w:val="20"/>
          <w:rFonts w:ascii="Calibri" w:eastAsia="Calibri" w:hAnsi="Calibri" w:hint="default"/>
        </w:rPr>
        <w:t>(</w:t>
      </w:r>
      <w:r>
        <w:rPr>
          <w:rStyle w:val="PO154"/>
          <w:vertAlign w:val="superscript"/>
          <w:color w:val="auto"/>
          <w:position w:val="0"/>
          <w:sz w:val="20"/>
          <w:szCs w:val="20"/>
          <w:rFonts w:ascii="Calibri" w:eastAsia="Calibri" w:hAnsi="Calibri" w:hint="default"/>
        </w:rPr>
        <w:footnoteRef/>
      </w:r>
      <w:r>
        <w:rPr>
          <w:color w:val="auto"/>
          <w:position w:val="0"/>
          <w:sz w:val="20"/>
          <w:szCs w:val="20"/>
          <w:rFonts w:ascii="Calibri" w:eastAsia="Calibri" w:hAnsi="Calibri" w:hint="default"/>
        </w:rPr>
        <w:t>)</w:t>
      </w:r>
      <w:r>
        <w:rPr>
          <w:rtl/>
          <w:color w:val="auto"/>
          <w:position w:val="0"/>
          <w:sz w:val="20"/>
          <w:szCs w:val="20"/>
          <w:rFonts w:ascii="Calibri" w:eastAsia="Calibri" w:hAnsi="Calibri" w:hint="default"/>
        </w:rPr>
        <w:t xml:space="preserve">غير ان هذا الحق قيدته المادة 5/4 من مذكرة التفاهم بتدقريرها بانه عند الشروع في المساعي الحميدة او الوساطة في غضون ستين </w:t>
      </w:r>
      <w:r>
        <w:rPr>
          <w:rtl/>
          <w:color w:val="auto"/>
          <w:position w:val="0"/>
          <w:sz w:val="20"/>
          <w:szCs w:val="20"/>
          <w:rFonts w:ascii="Calibri" w:eastAsia="Calibri" w:hAnsi="Calibri" w:hint="default"/>
        </w:rPr>
        <w:t xml:space="preserve">يوم بعد تاريخ طلب عقد المشاورات يتعين على الطرف الشاكي ان يتيح فترة ستين يوم بعد تسلم طلب عقد المشاورات قبل ان يطلب </w:t>
      </w:r>
      <w:r>
        <w:rPr>
          <w:rtl/>
          <w:color w:val="auto"/>
          <w:position w:val="0"/>
          <w:sz w:val="20"/>
          <w:szCs w:val="20"/>
          <w:rFonts w:ascii="Calibri" w:eastAsia="Calibri" w:hAnsi="Calibri" w:hint="default"/>
        </w:rPr>
        <w:t xml:space="preserve">انشاء فريق التحكيم , انطر كتاب التوفيق التجاري الدولي , د/ محمد ابراهيم موسى ص 39.</w:t>
      </w:r>
    </w:p>
  </w:footnote>
  <w:footnote w:id="20">
    <w:p>
      <w:pPr>
        <w:pStyle w:val="PO152"/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rtl/>
          <w:color w:val="auto"/>
          <w:position w:val="0"/>
          <w:sz w:val="20"/>
          <w:szCs w:val="20"/>
          <w:rFonts w:ascii="Calibri" w:eastAsia="Calibri" w:hAnsi="Calibri" w:hint="default"/>
        </w:rPr>
        <w:autoSpaceDE w:val="1"/>
        <w:autoSpaceDN w:val="1"/>
      </w:pPr>
      <w:r>
        <w:rPr>
          <w:color w:val="auto"/>
          <w:position w:val="0"/>
          <w:sz w:val="20"/>
          <w:szCs w:val="20"/>
          <w:rFonts w:ascii="Calibri" w:eastAsia="Calibri" w:hAnsi="Calibri" w:hint="default"/>
        </w:rPr>
        <w:t>(</w:t>
      </w:r>
      <w:r>
        <w:rPr>
          <w:rStyle w:val="PO154"/>
          <w:vertAlign w:val="superscript"/>
          <w:color w:val="auto"/>
          <w:position w:val="0"/>
          <w:sz w:val="20"/>
          <w:szCs w:val="20"/>
          <w:rFonts w:ascii="Calibri" w:eastAsia="Calibri" w:hAnsi="Calibri" w:hint="default"/>
        </w:rPr>
        <w:footnoteRef/>
      </w:r>
      <w:r>
        <w:rPr>
          <w:color w:val="auto"/>
          <w:position w:val="0"/>
          <w:sz w:val="20"/>
          <w:szCs w:val="20"/>
          <w:rFonts w:ascii="Calibri" w:eastAsia="Calibri" w:hAnsi="Calibri" w:hint="default"/>
        </w:rPr>
        <w:t>)</w:t>
      </w:r>
      <w:r>
        <w:rPr>
          <w:rtl/>
          <w:color w:val="auto"/>
          <w:position w:val="0"/>
          <w:sz w:val="20"/>
          <w:szCs w:val="20"/>
          <w:rFonts w:ascii="Calibri" w:eastAsia="Calibri" w:hAnsi="Calibri" w:hint="default"/>
        </w:rPr>
        <w:t xml:space="preserve">ا.د  / احمد ابو الوفا , كتاب التحكيم الاختياري والتحكيم الاجباري , منشاة المعارف , الاسكندرية ص 21.</w:t>
      </w:r>
    </w:p>
  </w:footnote>
  <w:footnote w:id="21">
    <w:p>
      <w:pPr>
        <w:pStyle w:val="PO152"/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rtl/>
          <w:color w:val="auto"/>
          <w:position w:val="0"/>
          <w:sz w:val="20"/>
          <w:szCs w:val="20"/>
          <w:rFonts w:ascii="Calibri" w:eastAsia="Calibri" w:hAnsi="Calibri" w:hint="default"/>
        </w:rPr>
        <w:autoSpaceDE w:val="1"/>
        <w:autoSpaceDN w:val="1"/>
      </w:pPr>
      <w:r>
        <w:rPr>
          <w:rStyle w:val="PO154"/>
          <w:vertAlign w:val="superscript"/>
          <w:color w:val="auto"/>
          <w:position w:val="0"/>
          <w:sz w:val="20"/>
          <w:szCs w:val="20"/>
          <w:rFonts w:ascii="Calibri" w:eastAsia="Calibri" w:hAnsi="Calibri" w:hint="default"/>
        </w:rPr>
        <w:footnoteRef/>
      </w:r>
      <w:r>
        <w:rPr>
          <w:color w:val="auto"/>
          <w:position w:val="0"/>
          <w:sz w:val="20"/>
          <w:szCs w:val="20"/>
          <w:rFonts w:ascii="Calibri" w:eastAsia="Calibri" w:hAnsi="Calibri" w:hint="default"/>
        </w:rPr>
        <w:t>)</w:t>
      </w:r>
      <w:r>
        <w:rPr>
          <w:rtl/>
          <w:color w:val="auto"/>
          <w:position w:val="0"/>
          <w:sz w:val="20"/>
          <w:szCs w:val="20"/>
          <w:rFonts w:ascii="Calibri" w:eastAsia="Calibri" w:hAnsi="Calibri" w:hint="default"/>
        </w:rPr>
        <w:t xml:space="preserve">)الاتحاد الدولي العربي للتحكيم , المرجع السابق .</w:t>
      </w:r>
    </w:p>
  </w:footnote>
  <w:footnote w:id="22">
    <w:p>
      <w:pPr>
        <w:pStyle w:val="PO152"/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rtl/>
          <w:color w:val="auto"/>
          <w:position w:val="0"/>
          <w:sz w:val="18"/>
          <w:szCs w:val="18"/>
          <w:rFonts w:ascii="Calibri" w:eastAsia="Calibri" w:hAnsi="Calibri" w:hint="default"/>
        </w:rPr>
        <w:autoSpaceDE w:val="1"/>
        <w:autoSpaceDN w:val="1"/>
      </w:pPr>
      <w:r>
        <w:rPr>
          <w:rtl/>
          <w:color w:val="auto"/>
          <w:position w:val="0"/>
          <w:sz w:val="18"/>
          <w:szCs w:val="18"/>
          <w:rFonts w:ascii="Calibri" w:eastAsia="Calibri" w:hAnsi="Calibri" w:hint="default"/>
        </w:rPr>
        <w:t>(1)</w:t>
      </w:r>
      <w:r>
        <w:rPr>
          <w:rtl/>
          <w:color w:val="000000" w:themeColor="text1"/>
          <w:position w:val="0"/>
          <w:sz w:val="18"/>
          <w:szCs w:val="18"/>
          <w:rFonts w:ascii="Calibri" w:eastAsia="Calibri" w:hAnsi="Calibri" w:hint="default"/>
        </w:rPr>
        <w:t xml:space="preserve"> نظر في ذلك:د. خيري عبدالفتاح البتانوني , المرجع السابق, ص110و111</w:t>
      </w:r>
    </w:p>
  </w:footnote>
  <w:footnote w:id="23">
    <w:p>
      <w:pPr>
        <w:pStyle w:val="PO152"/>
        <w:bidi w:val="1"/>
        <w:numPr>
          <w:ilvl w:val="0"/>
          <w:numId w:val="0"/>
        </w:numPr>
        <w:jc w:val="right"/>
        <w:spacing w:lineRule="auto" w:line="240" w:before="0" w:after="0"/>
        <w:ind w:left="0" w:firstLine="0"/>
        <w:rPr>
          <w:rtl/>
          <w:color w:val="auto"/>
          <w:position w:val="0"/>
          <w:sz w:val="20"/>
          <w:szCs w:val="20"/>
          <w:rFonts w:ascii="Calibri" w:eastAsia="Calibri" w:hAnsi="Calibri" w:hint="default"/>
        </w:rPr>
        <w:autoSpaceDE w:val="1"/>
        <w:autoSpaceDN w:val="1"/>
      </w:pPr>
      <w:r>
        <w:rPr>
          <w:rtl/>
          <w:color w:val="auto"/>
          <w:position w:val="0"/>
          <w:sz w:val="16"/>
          <w:szCs w:val="16"/>
          <w:rFonts w:ascii="Calibri" w:eastAsia="Calibri" w:hAnsi="Calibri" w:hint="default"/>
        </w:rPr>
        <w:t xml:space="preserve">(1)  انظر في ذلك : د. خيري عبدالفتاح البتانوني ,المرجع السابق,ص118</w:t>
      </w:r>
      <w:r>
        <w:rPr>
          <w:rtl/>
          <w:color w:val="auto"/>
          <w:position w:val="0"/>
          <w:sz w:val="20"/>
          <w:szCs w:val="20"/>
          <w:rFonts w:ascii="Calibri" w:eastAsia="Calibri" w:hAnsi="Calibri" w:hint="default"/>
        </w:rPr>
        <w:t>.</w:t>
      </w:r>
    </w:p>
  </w:footnote>
  <w:footnote w:id="24">
    <w:p>
      <w:pPr>
        <w:pStyle w:val="PO152"/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color w:val="auto"/>
          <w:position w:val="0"/>
          <w:sz w:val="16"/>
          <w:szCs w:val="16"/>
          <w:rFonts w:ascii="Calibri" w:eastAsia="Calibri" w:hAnsi="Calibri" w:hint="default"/>
        </w:rPr>
        <w:autoSpaceDE w:val="1"/>
        <w:autoSpaceDN w:val="1"/>
      </w:pPr>
      <w:r>
        <w:rPr>
          <w:rtl/>
          <w:color w:val="auto"/>
          <w:position w:val="0"/>
          <w:sz w:val="16"/>
          <w:szCs w:val="16"/>
          <w:rFonts w:ascii="Calibri" w:eastAsia="Calibri" w:hAnsi="Calibri" w:hint="default"/>
        </w:rPr>
        <w:t xml:space="preserve">(2)انظر في ذلك : د. خيري عبدالفتاح البتانوني ,المرجع السابق , ص120.</w:t>
      </w:r>
    </w:p>
  </w:footnote>
  <w:footnote w:id="25">
    <w:p>
      <w:pPr>
        <w:pStyle w:val="PO152"/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color w:val="auto"/>
          <w:position w:val="0"/>
          <w:sz w:val="20"/>
          <w:szCs w:val="20"/>
          <w:rFonts w:ascii="Calibri" w:eastAsia="Calibri" w:hAnsi="Calibri" w:hint="default"/>
        </w:rPr>
        <w:autoSpaceDE w:val="1"/>
        <w:autoSpaceDN w:val="1"/>
      </w:pPr>
      <w:r>
        <w:rPr>
          <w:rtl/>
          <w:color w:val="auto"/>
          <w:position w:val="0"/>
          <w:sz w:val="20"/>
          <w:szCs w:val="20"/>
          <w:rFonts w:ascii="Calibri" w:eastAsia="Calibri" w:hAnsi="Calibri" w:hint="default"/>
        </w:rPr>
        <w:t xml:space="preserve">(1) د. خيري عبدالفتاح البتانوني ,المرجع السابق , ص129.</w:t>
      </w:r>
    </w:p>
  </w:footnote>
  <w:footnote w:id="26">
    <w:p>
      <w:pPr>
        <w:pStyle w:val="PO152"/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color w:val="auto"/>
          <w:position w:val="0"/>
          <w:sz w:val="20"/>
          <w:szCs w:val="20"/>
          <w:rFonts w:ascii="Calibri" w:eastAsia="Calibri" w:hAnsi="Calibri" w:hint="default"/>
        </w:rPr>
        <w:autoSpaceDE w:val="1"/>
        <w:autoSpaceDN w:val="1"/>
      </w:pPr>
      <w:r>
        <w:rPr>
          <w:rtl/>
          <w:color w:val="auto"/>
          <w:position w:val="0"/>
          <w:sz w:val="20"/>
          <w:szCs w:val="20"/>
          <w:rFonts w:ascii="Calibri" w:eastAsia="Calibri" w:hAnsi="Calibri" w:hint="default"/>
        </w:rPr>
        <w:t xml:space="preserve">(1) د. خيري عبدالفتاح البتانوني ,المرجع السابق , ص132</w:t>
      </w:r>
    </w:p>
  </w:footnote>
  <w:footnote w:id="27">
    <w:p>
      <w:pPr>
        <w:pStyle w:val="PO152"/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color w:val="auto"/>
          <w:position w:val="0"/>
          <w:sz w:val="20"/>
          <w:szCs w:val="20"/>
          <w:rFonts w:ascii="Calibri" w:eastAsia="Calibri" w:hAnsi="Calibri" w:hint="default"/>
        </w:rPr>
        <w:autoSpaceDE w:val="1"/>
        <w:autoSpaceDN w:val="1"/>
      </w:pPr>
      <w:r>
        <w:rPr>
          <w:rtl/>
          <w:color w:val="auto"/>
          <w:position w:val="0"/>
          <w:sz w:val="20"/>
          <w:szCs w:val="20"/>
          <w:rFonts w:ascii="Calibri" w:eastAsia="Calibri" w:hAnsi="Calibri" w:hint="default"/>
        </w:rPr>
        <w:t xml:space="preserve">(2) د. خيري عبدالفتاح البتانوني ,المرجع السابق , ص128.</w:t>
      </w:r>
    </w:p>
  </w:footnote>
  <w:footnote w:id="28">
    <w:p>
      <w:pPr>
        <w:bidi w:val="1"/>
        <w:numPr>
          <w:ilvl w:val="0"/>
          <w:numId w:val="0"/>
        </w:numPr>
        <w:jc w:val="left"/>
        <w:spacing w:lineRule="auto" w:line="275" w:before="0" w:after="200"/>
        <w:ind w:left="0" w:firstLine="0"/>
        <w:rPr>
          <w:color w:val="auto"/>
          <w:position w:val="0"/>
          <w:sz w:val="22"/>
          <w:szCs w:val="22"/>
          <w:rFonts w:ascii="Calibri" w:eastAsia="Calibri" w:hAnsi="Calibri" w:hint="default"/>
        </w:rPr>
        <w:autoSpaceDE w:val="1"/>
        <w:autoSpaceDN w:val="1"/>
      </w:pPr>
      <w:r>
        <w:rPr>
          <w:rtl/>
          <w:color w:val="auto"/>
          <w:position w:val="0"/>
          <w:sz w:val="18"/>
          <w:szCs w:val="18"/>
          <w:rFonts w:ascii="Calibri" w:eastAsia="Calibri" w:hAnsi="Calibri" w:hint="default"/>
        </w:rPr>
        <w:t xml:space="preserve">(1) ويعد هذا هو الوضع الغالب اذ عادة ماتجرى التسوية الودية بناء على مبادرة احد الطرفين بعد نشأة النزاع ولكن في احوال اخرى تجرى تلك </w:t>
      </w:r>
      <w:r>
        <w:rPr>
          <w:rtl/>
          <w:color w:val="auto"/>
          <w:position w:val="0"/>
          <w:sz w:val="18"/>
          <w:szCs w:val="18"/>
          <w:rFonts w:ascii="Calibri" w:eastAsia="Calibri" w:hAnsi="Calibri" w:hint="default"/>
        </w:rPr>
        <w:t xml:space="preserve">التسوية امتثالا لاتفاق بين الطرفين قبل نشوء النزاع او بناء على دعوة من مركز اوغرفة تحكيم . ولقد وضحت الفقرة الرابعة من المادة الاولى من </w:t>
      </w:r>
      <w:r>
        <w:rPr>
          <w:rtl/>
          <w:color w:val="auto"/>
          <w:position w:val="0"/>
          <w:sz w:val="18"/>
          <w:szCs w:val="18"/>
          <w:rFonts w:ascii="Calibri" w:eastAsia="Calibri" w:hAnsi="Calibri" w:hint="default"/>
        </w:rPr>
        <w:t xml:space="preserve">القانون النموذجي الذي وضعه (الاونيسترال) تلك الاحوال بنصها على ان ( تنطبق هذه الاحكام التشريعية النموذجية دون اعتبار لما اذا كان التوفيق </w:t>
      </w:r>
      <w:r>
        <w:rPr>
          <w:rtl/>
          <w:color w:val="auto"/>
          <w:position w:val="0"/>
          <w:sz w:val="18"/>
          <w:szCs w:val="18"/>
          <w:rFonts w:ascii="Calibri" w:eastAsia="Calibri" w:hAnsi="Calibri" w:hint="default"/>
        </w:rPr>
        <w:t xml:space="preserve">يجرى بناء على مبادرة احد الطرفين بعد نشوء النزاع او امتثالا لاتفاق بين الطرفين قبل نشوء التزاع او عملا بتوجيه اوطلب من محكمة او هيئة </w:t>
      </w:r>
      <w:r>
        <w:rPr>
          <w:rtl/>
          <w:color w:val="auto"/>
          <w:position w:val="0"/>
          <w:sz w:val="18"/>
          <w:szCs w:val="18"/>
          <w:rFonts w:ascii="Calibri" w:eastAsia="Calibri" w:hAnsi="Calibri" w:hint="default"/>
        </w:rPr>
        <w:t xml:space="preserve">تحكيمية مختصة) راجع في ذلك :  د/ محمد ابراهيم موسى , المرجع السابق, ص155.</w:t>
      </w:r>
    </w:p>
  </w:footnote>
  <w:footnote w:id="29">
    <w:p>
      <w:pPr>
        <w:pStyle w:val="PO152"/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color w:val="auto"/>
          <w:position w:val="0"/>
          <w:sz w:val="18"/>
          <w:szCs w:val="18"/>
          <w:rFonts w:ascii="Calibri" w:eastAsia="Calibri" w:hAnsi="Calibri" w:hint="default"/>
        </w:rPr>
        <w:autoSpaceDE w:val="1"/>
        <w:autoSpaceDN w:val="1"/>
      </w:pPr>
      <w:r>
        <w:rPr>
          <w:rStyle w:val="PO154"/>
          <w:vertAlign w:val="superscript"/>
          <w:color w:val="auto"/>
          <w:position w:val="0"/>
          <w:sz w:val="18"/>
          <w:szCs w:val="18"/>
          <w:rFonts w:ascii="Calibri" w:eastAsia="Calibri" w:hAnsi="Calibri" w:hint="default"/>
        </w:rPr>
        <w:footnoteRef/>
      </w:r>
      <w:r>
        <w:rPr>
          <w:color w:val="auto"/>
          <w:position w:val="0"/>
          <w:sz w:val="18"/>
          <w:szCs w:val="18"/>
          <w:rFonts w:ascii="Calibri" w:eastAsia="Calibri" w:hAnsi="Calibri" w:hint="default"/>
        </w:rPr>
        <w:t>)</w:t>
      </w:r>
      <w:r>
        <w:rPr>
          <w:rtl/>
          <w:color w:val="auto"/>
          <w:position w:val="0"/>
          <w:sz w:val="18"/>
          <w:szCs w:val="18"/>
          <w:rFonts w:ascii="Calibri" w:eastAsia="Calibri" w:hAnsi="Calibri" w:hint="default"/>
        </w:rPr>
        <w:t xml:space="preserve">) </w:t>
      </w:r>
      <w:r>
        <w:rPr>
          <w:spacing w:val="-7"/>
          <w:color w:val="000000" w:themeColor="text1"/>
          <w:position w:val="0"/>
          <w:sz w:val="18"/>
          <w:szCs w:val="18"/>
          <w:rFonts w:ascii="Cambria" w:eastAsia="Calibri" w:hAnsi="Calibri" w:hint="default"/>
        </w:rPr>
        <w:t xml:space="preserve">UNCITRAL Model Law on International Commercial Conciliation</w:t>
      </w:r>
      <w:r>
        <w:rPr>
          <w:color w:val="auto"/>
          <w:position w:val="0"/>
          <w:sz w:val="18"/>
          <w:szCs w:val="18"/>
          <w:rFonts w:ascii="Cambria" w:eastAsia="Calibri" w:hAnsi="Calibri" w:hint="default"/>
        </w:rPr>
        <w:t xml:space="preserve"> (2002),</w:t>
      </w:r>
      <w:r>
        <w:rPr>
          <w:color w:val="231F20"/>
          <w:position w:val="0"/>
          <w:sz w:val="18"/>
          <w:szCs w:val="18"/>
          <w:rFonts w:ascii="Cambria" w:eastAsia="Calibri" w:hAnsi="Calibri" w:hint="default"/>
        </w:rPr>
        <w:t xml:space="preserve"> op, p1 , A1,6.</w:t>
      </w:r>
    </w:p>
    <w:p>
      <w:pPr>
        <w:pStyle w:val="PO152"/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rtl/>
          <w:color w:val="auto"/>
          <w:position w:val="0"/>
          <w:sz w:val="20"/>
          <w:szCs w:val="20"/>
          <w:rFonts w:ascii="Calibri" w:eastAsia="Calibri" w:hAnsi="Calibri" w:hint="default"/>
        </w:rPr>
        <w:autoSpaceDE w:val="1"/>
        <w:autoSpaceDN w:val="1"/>
      </w:pPr>
    </w:p>
  </w:footnote>
  <w:footnote w:id="30">
    <w:p>
      <w:pPr>
        <w:pStyle w:val="PO152"/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color w:val="auto"/>
          <w:position w:val="0"/>
          <w:sz w:val="18"/>
          <w:szCs w:val="18"/>
          <w:rFonts w:ascii="Calibri" w:eastAsia="Calibri" w:hAnsi="Calibri" w:hint="default"/>
        </w:rPr>
        <w:autoSpaceDE w:val="1"/>
        <w:autoSpaceDN w:val="1"/>
      </w:pPr>
      <w:r>
        <w:rPr>
          <w:rStyle w:val="PO154"/>
          <w:vertAlign w:val="superscript"/>
          <w:color w:val="auto"/>
          <w:position w:val="0"/>
          <w:sz w:val="18"/>
          <w:szCs w:val="18"/>
          <w:rFonts w:ascii="Calibri" w:eastAsia="Calibri" w:hAnsi="Calibri" w:hint="default"/>
        </w:rPr>
        <w:footnoteRef/>
      </w:r>
      <w:r>
        <w:rPr>
          <w:color w:val="auto"/>
          <w:position w:val="0"/>
          <w:sz w:val="18"/>
          <w:szCs w:val="18"/>
          <w:rFonts w:ascii="Calibri" w:eastAsia="Calibri" w:hAnsi="Calibri" w:hint="default"/>
        </w:rPr>
        <w:t>)</w:t>
      </w:r>
      <w:r>
        <w:rPr>
          <w:rtl/>
          <w:color w:val="auto"/>
          <w:position w:val="0"/>
          <w:sz w:val="18"/>
          <w:szCs w:val="18"/>
          <w:rFonts w:ascii="Calibri" w:eastAsia="Calibri" w:hAnsi="Calibri" w:hint="default"/>
        </w:rPr>
        <w:t xml:space="preserve">) </w:t>
      </w:r>
      <w:r>
        <w:rPr>
          <w:spacing w:val="-7"/>
          <w:color w:val="000000" w:themeColor="text1"/>
          <w:position w:val="0"/>
          <w:sz w:val="18"/>
          <w:szCs w:val="18"/>
          <w:rFonts w:ascii="Cambria" w:eastAsia="Calibri" w:hAnsi="Calibri" w:hint="default"/>
        </w:rPr>
        <w:t xml:space="preserve">UNCITRAL Model Law on International Commercial Conciliation</w:t>
      </w:r>
      <w:r>
        <w:rPr>
          <w:color w:val="auto"/>
          <w:position w:val="0"/>
          <w:sz w:val="18"/>
          <w:szCs w:val="18"/>
          <w:rFonts w:ascii="Cambria" w:eastAsia="Calibri" w:hAnsi="Calibri" w:hint="default"/>
        </w:rPr>
        <w:t xml:space="preserve"> (2002),</w:t>
      </w:r>
      <w:r>
        <w:rPr>
          <w:color w:val="231F20"/>
          <w:position w:val="0"/>
          <w:sz w:val="18"/>
          <w:szCs w:val="18"/>
          <w:rFonts w:ascii="Cambria" w:eastAsia="Calibri" w:hAnsi="Calibri" w:hint="default"/>
        </w:rPr>
        <w:t xml:space="preserve"> op, p1 , A4.</w:t>
      </w:r>
    </w:p>
  </w:footnote>
  <w:footnote w:id="31">
    <w:p>
      <w:pPr>
        <w:pStyle w:val="PO152"/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color w:val="auto"/>
          <w:position w:val="0"/>
          <w:sz w:val="20"/>
          <w:szCs w:val="20"/>
          <w:rFonts w:ascii="Calibri" w:eastAsia="Arial" w:hAnsi="Arial" w:hint="default"/>
        </w:rPr>
        <w:autoSpaceDE w:val="1"/>
        <w:autoSpaceDN w:val="1"/>
      </w:pPr>
      <w:r>
        <w:rPr>
          <w:rtl/>
          <w:color w:val="auto"/>
          <w:position w:val="0"/>
          <w:sz w:val="18"/>
          <w:szCs w:val="18"/>
          <w:rFonts w:ascii="Calibri" w:eastAsia="Calibri" w:hAnsi="Calibri" w:hint="default"/>
        </w:rPr>
        <w:t xml:space="preserve">(3) انظر في ذلك : د/أحمد عبدالكريم سلامة , النظرية العامة للنظم الودية لتسوية المنازعات, المرجع السابق, ص295.</w:t>
      </w:r>
    </w:p>
  </w:footnote>
  <w:footnote w:id="32">
    <w:p>
      <w:pPr>
        <w:pStyle w:val="PO152"/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rtl/>
          <w:color w:val="auto"/>
          <w:position w:val="0"/>
          <w:sz w:val="18"/>
          <w:szCs w:val="18"/>
          <w:rFonts w:ascii="Calibri" w:eastAsia="Arial" w:hAnsi="Arial" w:hint="default"/>
        </w:rPr>
        <w:autoSpaceDE w:val="1"/>
        <w:autoSpaceDN w:val="1"/>
      </w:pPr>
      <w:r>
        <w:rPr>
          <w:rtl/>
          <w:color w:val="auto"/>
          <w:position w:val="0"/>
          <w:sz w:val="18"/>
          <w:szCs w:val="18"/>
          <w:rFonts w:ascii="Calibri" w:eastAsia="Calibri" w:hAnsi="Calibri" w:hint="default"/>
        </w:rPr>
        <w:t xml:space="preserve">(1) انظر في ذلك : د/ محمد إبراهيم موسى , المرجع السابق, ص176.</w:t>
      </w:r>
    </w:p>
  </w:footnote>
  <w:footnote w:id="33">
    <w:p>
      <w:pPr>
        <w:pStyle w:val="PO152"/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rtl/>
          <w:color w:val="auto"/>
          <w:position w:val="0"/>
          <w:sz w:val="18"/>
          <w:szCs w:val="18"/>
          <w:rFonts w:ascii="Calibri" w:eastAsia="Calibri" w:hAnsi="Calibri" w:hint="default"/>
        </w:rPr>
        <w:autoSpaceDE w:val="1"/>
        <w:autoSpaceDN w:val="1"/>
      </w:pPr>
      <w:r>
        <w:rPr>
          <w:rStyle w:val="PO154"/>
          <w:vertAlign w:val="superscript"/>
          <w:color w:val="auto"/>
          <w:position w:val="0"/>
          <w:sz w:val="18"/>
          <w:szCs w:val="18"/>
          <w:rFonts w:ascii="Calibri" w:eastAsia="Calibri" w:hAnsi="Calibri" w:hint="default"/>
        </w:rPr>
        <w:footnoteRef/>
      </w:r>
      <w:r>
        <w:rPr>
          <w:color w:val="auto"/>
          <w:position w:val="0"/>
          <w:sz w:val="18"/>
          <w:szCs w:val="18"/>
          <w:rFonts w:ascii="Calibri" w:eastAsia="Calibri" w:hAnsi="Calibri" w:hint="default"/>
        </w:rPr>
        <w:t>)</w:t>
      </w:r>
      <w:r>
        <w:rPr>
          <w:rtl/>
          <w:color w:val="auto"/>
          <w:position w:val="0"/>
          <w:sz w:val="18"/>
          <w:szCs w:val="18"/>
          <w:rFonts w:ascii="Calibri" w:eastAsia="Calibri" w:hAnsi="Calibri" w:hint="default"/>
        </w:rPr>
        <w:t xml:space="preserve">) </w:t>
      </w:r>
      <w:r>
        <w:rPr>
          <w:spacing w:val="-7"/>
          <w:color w:val="000000" w:themeColor="text1"/>
          <w:position w:val="0"/>
          <w:sz w:val="18"/>
          <w:szCs w:val="18"/>
          <w:rFonts w:ascii="Cambria" w:eastAsia="Calibri" w:hAnsi="Calibri" w:hint="default"/>
        </w:rPr>
        <w:t xml:space="preserve">UNCITRAL Model Law on International Commercial Conciliation</w:t>
      </w:r>
      <w:r>
        <w:rPr>
          <w:color w:val="auto"/>
          <w:position w:val="0"/>
          <w:sz w:val="18"/>
          <w:szCs w:val="18"/>
          <w:rFonts w:ascii="Cambria" w:eastAsia="Calibri" w:hAnsi="Calibri" w:hint="default"/>
        </w:rPr>
        <w:t xml:space="preserve"> (2002),</w:t>
      </w:r>
      <w:r>
        <w:rPr>
          <w:color w:val="231F20"/>
          <w:position w:val="0"/>
          <w:sz w:val="18"/>
          <w:szCs w:val="18"/>
          <w:rFonts w:ascii="Cambria" w:eastAsia="Calibri" w:hAnsi="Calibri" w:hint="default"/>
        </w:rPr>
        <w:t xml:space="preserve"> op, p1 , A6,1.</w:t>
      </w:r>
    </w:p>
  </w:footnote>
  <w:footnote w:id="34">
    <w:p>
      <w:pPr>
        <w:pStyle w:val="PO152"/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rtl/>
          <w:color w:val="auto"/>
          <w:position w:val="0"/>
          <w:sz w:val="18"/>
          <w:szCs w:val="18"/>
          <w:rFonts w:ascii="Calibri" w:eastAsia="Calibri" w:hAnsi="Calibri" w:hint="default"/>
        </w:rPr>
        <w:autoSpaceDE w:val="1"/>
        <w:autoSpaceDN w:val="1"/>
      </w:pPr>
      <w:r>
        <w:rPr>
          <w:rStyle w:val="PO154"/>
          <w:vertAlign w:val="superscript"/>
          <w:color w:val="auto"/>
          <w:position w:val="0"/>
          <w:sz w:val="18"/>
          <w:szCs w:val="18"/>
          <w:rFonts w:ascii="Calibri" w:eastAsia="Calibri" w:hAnsi="Calibri" w:hint="default"/>
        </w:rPr>
        <w:footnoteRef/>
      </w:r>
      <w:r>
        <w:rPr>
          <w:color w:val="auto"/>
          <w:position w:val="0"/>
          <w:sz w:val="18"/>
          <w:szCs w:val="18"/>
          <w:rFonts w:ascii="Calibri" w:eastAsia="Calibri" w:hAnsi="Calibri" w:hint="default"/>
        </w:rPr>
        <w:t>)</w:t>
      </w:r>
      <w:r>
        <w:rPr>
          <w:rtl/>
          <w:color w:val="auto"/>
          <w:position w:val="0"/>
          <w:sz w:val="18"/>
          <w:szCs w:val="18"/>
          <w:rFonts w:ascii="Calibri" w:eastAsia="Calibri" w:hAnsi="Calibri" w:hint="default"/>
        </w:rPr>
        <w:t xml:space="preserve">) </w:t>
      </w:r>
      <w:r>
        <w:rPr>
          <w:spacing w:val="-7"/>
          <w:color w:val="000000" w:themeColor="text1"/>
          <w:position w:val="0"/>
          <w:sz w:val="18"/>
          <w:szCs w:val="18"/>
          <w:rFonts w:ascii="Cambria" w:eastAsia="Calibri" w:hAnsi="Calibri" w:hint="default"/>
        </w:rPr>
        <w:t xml:space="preserve">UNCITRAL Model Law on International Commercial Conciliation</w:t>
      </w:r>
      <w:r>
        <w:rPr>
          <w:color w:val="auto"/>
          <w:position w:val="0"/>
          <w:sz w:val="18"/>
          <w:szCs w:val="18"/>
          <w:rFonts w:ascii="Cambria" w:eastAsia="Calibri" w:hAnsi="Calibri" w:hint="default"/>
        </w:rPr>
        <w:t xml:space="preserve"> (2002),</w:t>
      </w:r>
      <w:r>
        <w:rPr>
          <w:color w:val="231F20"/>
          <w:position w:val="0"/>
          <w:sz w:val="18"/>
          <w:szCs w:val="18"/>
          <w:rFonts w:ascii="Cambria" w:eastAsia="Calibri" w:hAnsi="Calibri" w:hint="default"/>
        </w:rPr>
        <w:t xml:space="preserve"> op, p1 , A6,2.</w:t>
      </w:r>
    </w:p>
  </w:footnote>
  <w:footnote w:id="35">
    <w:p>
      <w:pPr>
        <w:pStyle w:val="PO152"/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rtl/>
          <w:color w:val="auto"/>
          <w:position w:val="0"/>
          <w:sz w:val="20"/>
          <w:szCs w:val="20"/>
          <w:rFonts w:ascii="Calibri" w:eastAsia="Calibri" w:hAnsi="Calibri" w:hint="default"/>
        </w:rPr>
        <w:autoSpaceDE w:val="1"/>
        <w:autoSpaceDN w:val="1"/>
      </w:pPr>
      <w:r>
        <w:rPr>
          <w:rtl/>
          <w:color w:val="auto"/>
          <w:position w:val="0"/>
          <w:sz w:val="18"/>
          <w:szCs w:val="18"/>
          <w:rFonts w:ascii="Calibri" w:eastAsia="Calibri" w:hAnsi="Calibri" w:hint="default"/>
        </w:rPr>
        <w:t xml:space="preserve">(5) انظر في ذلك : د/ محمد إبراهيم موسى, المرجع السابق ص177.</w:t>
      </w:r>
    </w:p>
  </w:footnote>
  <w:footnote w:id="36">
    <w:p>
      <w:pPr>
        <w:pStyle w:val="PO152"/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color w:val="auto"/>
          <w:position w:val="0"/>
          <w:sz w:val="20"/>
          <w:szCs w:val="20"/>
          <w:rFonts w:ascii="Calibri" w:eastAsia="Arial" w:hAnsi="Arial" w:hint="default"/>
        </w:rPr>
        <w:autoSpaceDE w:val="1"/>
        <w:autoSpaceDN w:val="1"/>
      </w:pPr>
      <w:r>
        <w:rPr>
          <w:rtl/>
          <w:color w:val="auto"/>
          <w:position w:val="0"/>
          <w:sz w:val="20"/>
          <w:szCs w:val="20"/>
          <w:rFonts w:ascii="Calibri" w:eastAsia="Calibri" w:hAnsi="Calibri" w:hint="default"/>
        </w:rPr>
        <w:t xml:space="preserve">(1) نظر في ذلك : د/أحمد عبدالكريم سلامة , النظرية العامة للنظم الودية لتسوية المنازعات, المرجع السابق, ص295.</w:t>
      </w:r>
    </w:p>
  </w:footnote>
  <w:footnote w:id="37">
    <w:p>
      <w:pPr>
        <w:pStyle w:val="PO152"/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color w:val="auto"/>
          <w:position w:val="0"/>
          <w:sz w:val="20"/>
          <w:szCs w:val="20"/>
          <w:rFonts w:ascii="Calibri" w:eastAsia="Calibri" w:hAnsi="Calibri" w:hint="default"/>
        </w:rPr>
        <w:autoSpaceDE w:val="1"/>
        <w:autoSpaceDN w:val="1"/>
      </w:pPr>
      <w:r>
        <w:rPr>
          <w:rStyle w:val="PO154"/>
          <w:vertAlign w:val="superscript"/>
          <w:color w:val="auto"/>
          <w:position w:val="0"/>
          <w:sz w:val="20"/>
          <w:szCs w:val="20"/>
          <w:rFonts w:ascii="Calibri" w:eastAsia="Calibri" w:hAnsi="Calibri" w:hint="default"/>
        </w:rPr>
        <w:footnoteRef/>
      </w:r>
      <w:r>
        <w:rPr>
          <w:color w:val="auto"/>
          <w:position w:val="0"/>
          <w:sz w:val="20"/>
          <w:szCs w:val="20"/>
          <w:rFonts w:ascii="Calibri" w:eastAsia="Calibri" w:hAnsi="Calibri" w:hint="default"/>
        </w:rPr>
        <w:t>)</w:t>
      </w:r>
      <w:r>
        <w:rPr>
          <w:rtl/>
          <w:color w:val="auto"/>
          <w:position w:val="0"/>
          <w:sz w:val="20"/>
          <w:szCs w:val="20"/>
          <w:rFonts w:ascii="Calibri" w:eastAsia="Calibri" w:hAnsi="Calibri" w:hint="default"/>
        </w:rPr>
        <w:t xml:space="preserve">) </w:t>
      </w:r>
      <w:r>
        <w:rPr>
          <w:spacing w:val="-7"/>
          <w:color w:val="000000" w:themeColor="text1"/>
          <w:position w:val="0"/>
          <w:sz w:val="18"/>
          <w:szCs w:val="18"/>
          <w:rFonts w:ascii="Cambria" w:eastAsia="Calibri" w:hAnsi="Calibri" w:hint="default"/>
        </w:rPr>
        <w:t xml:space="preserve">UNCITRAL Model Law on International Commercial Conciliation</w:t>
      </w:r>
      <w:r>
        <w:rPr>
          <w:color w:val="auto"/>
          <w:position w:val="0"/>
          <w:sz w:val="18"/>
          <w:szCs w:val="18"/>
          <w:rFonts w:ascii="Cambria" w:eastAsia="Calibri" w:hAnsi="Calibri" w:hint="default"/>
        </w:rPr>
        <w:t xml:space="preserve"> (2002),</w:t>
      </w:r>
      <w:r>
        <w:rPr>
          <w:color w:val="231F20"/>
          <w:position w:val="0"/>
          <w:sz w:val="18"/>
          <w:szCs w:val="18"/>
          <w:rFonts w:ascii="Cambria" w:eastAsia="Calibri" w:hAnsi="Calibri" w:hint="default"/>
        </w:rPr>
        <w:t xml:space="preserve"> op, p1 , A7.</w:t>
      </w:r>
    </w:p>
  </w:footnote>
  <w:footnote w:id="38">
    <w:p>
      <w:pPr>
        <w:pStyle w:val="PO152"/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rtl/>
          <w:color w:val="auto"/>
          <w:position w:val="0"/>
          <w:sz w:val="20"/>
          <w:szCs w:val="20"/>
          <w:rFonts w:ascii="Calibri" w:eastAsia="Calibri" w:hAnsi="Calibri" w:hint="default"/>
        </w:rPr>
        <w:autoSpaceDE w:val="1"/>
        <w:autoSpaceDN w:val="1"/>
      </w:pPr>
      <w:r>
        <w:rPr>
          <w:rtl/>
          <w:color w:val="auto"/>
          <w:position w:val="0"/>
          <w:sz w:val="18"/>
          <w:szCs w:val="18"/>
          <w:rFonts w:ascii="Calibri" w:eastAsia="Calibri" w:hAnsi="Calibri" w:hint="default"/>
        </w:rPr>
        <w:t xml:space="preserve">(1)  انظر: د./ خيري عبدالفتاح البتانوني, المرجع السابق, ص179.</w:t>
      </w:r>
    </w:p>
  </w:footnote>
  <w:footnote w:id="39">
    <w:p>
      <w:pPr>
        <w:pStyle w:val="PO152"/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color w:val="auto"/>
          <w:position w:val="0"/>
          <w:sz w:val="18"/>
          <w:szCs w:val="18"/>
          <w:rFonts w:ascii="Calibri" w:eastAsia="Calibri" w:hAnsi="Calibri" w:hint="default"/>
        </w:rPr>
        <w:autoSpaceDE w:val="1"/>
        <w:autoSpaceDN w:val="1"/>
      </w:pPr>
      <w:r>
        <w:rPr>
          <w:rStyle w:val="PO154"/>
          <w:vertAlign w:val="superscript"/>
          <w:color w:val="auto"/>
          <w:position w:val="0"/>
          <w:sz w:val="18"/>
          <w:szCs w:val="18"/>
          <w:rFonts w:ascii="Calibri" w:eastAsia="Calibri" w:hAnsi="Calibri" w:hint="default"/>
        </w:rPr>
        <w:footnoteRef/>
      </w:r>
      <w:r>
        <w:rPr>
          <w:color w:val="auto"/>
          <w:position w:val="0"/>
          <w:sz w:val="18"/>
          <w:szCs w:val="18"/>
          <w:rFonts w:ascii="Calibri" w:eastAsia="Calibri" w:hAnsi="Calibri" w:hint="default"/>
        </w:rPr>
        <w:t>)</w:t>
      </w:r>
      <w:r>
        <w:rPr>
          <w:rtl/>
          <w:color w:val="auto"/>
          <w:position w:val="0"/>
          <w:sz w:val="18"/>
          <w:szCs w:val="18"/>
          <w:rFonts w:ascii="Calibri" w:eastAsia="Calibri" w:hAnsi="Calibri" w:hint="default"/>
        </w:rPr>
        <w:t xml:space="preserve">) </w:t>
      </w:r>
      <w:r>
        <w:rPr>
          <w:spacing w:val="-7"/>
          <w:color w:val="000000" w:themeColor="text1"/>
          <w:position w:val="0"/>
          <w:sz w:val="18"/>
          <w:szCs w:val="18"/>
          <w:rFonts w:ascii="Cambria" w:eastAsia="Calibri" w:hAnsi="Calibri" w:hint="default"/>
        </w:rPr>
        <w:t xml:space="preserve">UNCITRAL Model Law on International Commercial Conciliation</w:t>
      </w:r>
      <w:r>
        <w:rPr>
          <w:color w:val="auto"/>
          <w:position w:val="0"/>
          <w:sz w:val="18"/>
          <w:szCs w:val="18"/>
          <w:rFonts w:ascii="Cambria" w:eastAsia="Calibri" w:hAnsi="Calibri" w:hint="default"/>
        </w:rPr>
        <w:t xml:space="preserve"> (2002),</w:t>
      </w:r>
      <w:r>
        <w:rPr>
          <w:color w:val="231F20"/>
          <w:position w:val="0"/>
          <w:sz w:val="18"/>
          <w:szCs w:val="18"/>
          <w:rFonts w:ascii="Cambria" w:eastAsia="Calibri" w:hAnsi="Calibri" w:hint="default"/>
        </w:rPr>
        <w:t xml:space="preserve"> op, p1 , A11.</w:t>
      </w:r>
    </w:p>
  </w:footnote>
  <w:footnote w:id="40">
    <w:p>
      <w:pPr>
        <w:pStyle w:val="PO152"/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rtl/>
          <w:color w:val="auto"/>
          <w:position w:val="0"/>
          <w:sz w:val="18"/>
          <w:szCs w:val="18"/>
          <w:rFonts w:ascii="Calibri" w:eastAsia="Calibri" w:hAnsi="Calibri" w:hint="default"/>
        </w:rPr>
        <w:autoSpaceDE w:val="1"/>
        <w:autoSpaceDN w:val="1"/>
      </w:pPr>
      <w:r>
        <w:rPr>
          <w:rStyle w:val="PO154"/>
          <w:vertAlign w:val="superscript"/>
          <w:color w:val="auto"/>
          <w:position w:val="0"/>
          <w:sz w:val="18"/>
          <w:szCs w:val="18"/>
          <w:rFonts w:ascii="Calibri" w:eastAsia="Calibri" w:hAnsi="Calibri" w:hint="default"/>
        </w:rPr>
        <w:footnoteRef/>
      </w:r>
      <w:r>
        <w:rPr>
          <w:color w:val="auto"/>
          <w:position w:val="0"/>
          <w:sz w:val="18"/>
          <w:szCs w:val="18"/>
          <w:rFonts w:ascii="Calibri" w:eastAsia="Calibri" w:hAnsi="Calibri" w:hint="default"/>
        </w:rPr>
        <w:t>)</w:t>
      </w:r>
      <w:r>
        <w:rPr>
          <w:rtl/>
          <w:color w:val="auto"/>
          <w:position w:val="0"/>
          <w:sz w:val="18"/>
          <w:szCs w:val="18"/>
          <w:rFonts w:ascii="Calibri" w:eastAsia="Calibri" w:hAnsi="Calibri" w:hint="default"/>
        </w:rPr>
        <w:t xml:space="preserve">) </w:t>
      </w:r>
      <w:r>
        <w:rPr>
          <w:spacing w:val="-7"/>
          <w:color w:val="000000" w:themeColor="text1"/>
          <w:position w:val="0"/>
          <w:sz w:val="18"/>
          <w:szCs w:val="18"/>
          <w:rFonts w:ascii="Cambria" w:eastAsia="Calibri" w:hAnsi="Calibri" w:hint="default"/>
        </w:rPr>
        <w:t xml:space="preserve">UNCITRAL Model Law on International Commercial Conciliation</w:t>
      </w:r>
      <w:r>
        <w:rPr>
          <w:color w:val="auto"/>
          <w:position w:val="0"/>
          <w:sz w:val="18"/>
          <w:szCs w:val="18"/>
          <w:rFonts w:ascii="Cambria" w:eastAsia="Calibri" w:hAnsi="Calibri" w:hint="default"/>
        </w:rPr>
        <w:t xml:space="preserve"> (2002),</w:t>
      </w:r>
      <w:r>
        <w:rPr>
          <w:color w:val="231F20"/>
          <w:position w:val="0"/>
          <w:sz w:val="18"/>
          <w:szCs w:val="18"/>
          <w:rFonts w:ascii="Cambria" w:eastAsia="Calibri" w:hAnsi="Calibri" w:hint="default"/>
        </w:rPr>
        <w:t xml:space="preserve"> op, p1 , A11</w:t>
      </w:r>
    </w:p>
  </w:footnote>
  <w:footnote w:id="41">
    <w:p>
      <w:pPr>
        <w:pStyle w:val="PO152"/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color w:val="auto"/>
          <w:position w:val="0"/>
          <w:sz w:val="20"/>
          <w:szCs w:val="20"/>
          <w:rFonts w:ascii="Calibri" w:eastAsia="Calibri" w:hAnsi="Calibri" w:hint="default"/>
        </w:rPr>
        <w:autoSpaceDE w:val="1"/>
        <w:autoSpaceDN w:val="1"/>
      </w:pPr>
      <w:r>
        <w:rPr>
          <w:rStyle w:val="PO154"/>
          <w:vertAlign w:val="superscript"/>
          <w:color w:val="auto"/>
          <w:position w:val="0"/>
          <w:sz w:val="20"/>
          <w:szCs w:val="20"/>
          <w:rFonts w:ascii="Calibri" w:eastAsia="Calibri" w:hAnsi="Calibri" w:hint="default"/>
        </w:rPr>
        <w:footnoteRef/>
      </w:r>
      <w:r>
        <w:rPr>
          <w:color w:val="auto"/>
          <w:position w:val="0"/>
          <w:sz w:val="20"/>
          <w:szCs w:val="20"/>
          <w:rFonts w:ascii="Calibri" w:eastAsia="Calibri" w:hAnsi="Calibri" w:hint="default"/>
        </w:rPr>
        <w:t>)</w:t>
      </w:r>
      <w:r>
        <w:rPr>
          <w:rtl/>
          <w:color w:val="auto"/>
          <w:position w:val="0"/>
          <w:sz w:val="20"/>
          <w:szCs w:val="20"/>
          <w:rFonts w:ascii="Calibri" w:eastAsia="Calibri" w:hAnsi="Calibri" w:hint="default"/>
        </w:rPr>
        <w:t xml:space="preserve">) </w:t>
      </w:r>
      <w:r>
        <w:rPr>
          <w:spacing w:val="-7"/>
          <w:color w:val="000000" w:themeColor="text1"/>
          <w:position w:val="0"/>
          <w:sz w:val="18"/>
          <w:szCs w:val="18"/>
          <w:rFonts w:ascii="Cambria" w:eastAsia="Calibri" w:hAnsi="Calibri" w:hint="default"/>
        </w:rPr>
        <w:t xml:space="preserve">UNCITRAL Model Law on International Commercial Conciliation</w:t>
      </w:r>
      <w:r>
        <w:rPr>
          <w:color w:val="auto"/>
          <w:position w:val="0"/>
          <w:sz w:val="18"/>
          <w:szCs w:val="18"/>
          <w:rFonts w:ascii="Cambria" w:eastAsia="Calibri" w:hAnsi="Calibri" w:hint="default"/>
        </w:rPr>
        <w:t xml:space="preserve"> (2002),</w:t>
      </w:r>
      <w:r>
        <w:rPr>
          <w:color w:val="231F20"/>
          <w:position w:val="0"/>
          <w:sz w:val="18"/>
          <w:szCs w:val="18"/>
          <w:rFonts w:ascii="Cambria" w:eastAsia="Calibri" w:hAnsi="Calibri" w:hint="default"/>
        </w:rPr>
        <w:t xml:space="preserve"> op, p1 , A11</w:t>
      </w:r>
    </w:p>
  </w:footnote>
  <w:footnote w:id="42">
    <w:p>
      <w:pPr>
        <w:pStyle w:val="PO152"/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color w:val="auto"/>
          <w:position w:val="0"/>
          <w:sz w:val="18"/>
          <w:szCs w:val="18"/>
          <w:rFonts w:ascii="Calibri" w:eastAsia="Arial" w:hAnsi="Arial" w:hint="default"/>
        </w:rPr>
        <w:autoSpaceDE w:val="1"/>
        <w:autoSpaceDN w:val="1"/>
      </w:pPr>
      <w:r>
        <w:rPr>
          <w:rtl/>
          <w:color w:val="auto"/>
          <w:position w:val="0"/>
          <w:sz w:val="18"/>
          <w:szCs w:val="18"/>
          <w:rFonts w:ascii="Calibri" w:eastAsia="Calibri" w:hAnsi="Calibri" w:hint="default"/>
        </w:rPr>
        <w:t xml:space="preserve">(4) انظر: د./ ابراهيم نجار , الاساليب البديلة لتسوية المنازعات في قانون العقود اللبناني , ندوة القانون المقارن, دمشق,1996, ص178.</w:t>
      </w:r>
    </w:p>
  </w:footnote>
  <w:footnote w:id="43">
    <w:p>
      <w:pPr>
        <w:pStyle w:val="PO152"/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rtl/>
          <w:color w:val="auto"/>
          <w:position w:val="0"/>
          <w:sz w:val="18"/>
          <w:szCs w:val="18"/>
          <w:rFonts w:ascii="Calibri" w:eastAsia="Calibri" w:hAnsi="Calibri" w:hint="default"/>
        </w:rPr>
        <w:autoSpaceDE w:val="1"/>
        <w:autoSpaceDN w:val="1"/>
      </w:pPr>
      <w:r>
        <w:rPr>
          <w:rtl/>
          <w:color w:val="auto"/>
          <w:position w:val="0"/>
          <w:sz w:val="18"/>
          <w:szCs w:val="18"/>
          <w:rFonts w:ascii="Calibri" w:eastAsia="Calibri" w:hAnsi="Calibri" w:hint="default"/>
        </w:rPr>
        <w:t xml:space="preserve">(1) انظر: د./ خيري عبدالفتاح البتانوني, المرجع السابق, ص212.</w:t>
      </w:r>
    </w:p>
  </w:footnote>
  <w:footnote w:id="44">
    <w:p>
      <w:pPr>
        <w:pStyle w:val="PO152"/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color w:val="auto"/>
          <w:position w:val="0"/>
          <w:sz w:val="20"/>
          <w:szCs w:val="20"/>
          <w:rFonts w:ascii="Calibri" w:eastAsia="Calibri" w:hAnsi="Calibri" w:hint="default"/>
        </w:rPr>
        <w:autoSpaceDE w:val="1"/>
        <w:autoSpaceDN w:val="1"/>
      </w:pPr>
      <w:r>
        <w:rPr>
          <w:rStyle w:val="PO154"/>
          <w:vertAlign w:val="superscript"/>
          <w:color w:val="auto"/>
          <w:position w:val="0"/>
          <w:sz w:val="18"/>
          <w:szCs w:val="18"/>
          <w:rFonts w:ascii="Calibri" w:eastAsia="Calibri" w:hAnsi="Calibri" w:hint="default"/>
        </w:rPr>
        <w:footnoteRef/>
      </w:r>
      <w:r>
        <w:rPr>
          <w:color w:val="auto"/>
          <w:position w:val="0"/>
          <w:sz w:val="18"/>
          <w:szCs w:val="18"/>
          <w:rFonts w:ascii="Calibri" w:eastAsia="Calibri" w:hAnsi="Calibri" w:hint="default"/>
        </w:rPr>
        <w:t>)</w:t>
      </w:r>
      <w:r>
        <w:rPr>
          <w:rtl/>
          <w:color w:val="auto"/>
          <w:position w:val="0"/>
          <w:sz w:val="18"/>
          <w:szCs w:val="18"/>
          <w:rFonts w:ascii="Calibri" w:eastAsia="Calibri" w:hAnsi="Calibri" w:hint="default"/>
        </w:rPr>
        <w:t xml:space="preserve">) </w:t>
      </w:r>
      <w:r>
        <w:rPr>
          <w:spacing w:val="-7"/>
          <w:color w:val="000000" w:themeColor="text1"/>
          <w:position w:val="0"/>
          <w:sz w:val="18"/>
          <w:szCs w:val="18"/>
          <w:rFonts w:ascii="Cambria" w:eastAsia="Calibri" w:hAnsi="Calibri" w:hint="default"/>
        </w:rPr>
        <w:t xml:space="preserve">UNCITRAL Model Law on International Commercial Conciliation</w:t>
      </w:r>
      <w:r>
        <w:rPr>
          <w:color w:val="auto"/>
          <w:position w:val="0"/>
          <w:sz w:val="18"/>
          <w:szCs w:val="18"/>
          <w:rFonts w:ascii="Cambria" w:eastAsia="Calibri" w:hAnsi="Calibri" w:hint="default"/>
        </w:rPr>
        <w:t xml:space="preserve"> (2002),</w:t>
      </w:r>
      <w:r>
        <w:rPr>
          <w:color w:val="231F20"/>
          <w:position w:val="0"/>
          <w:sz w:val="18"/>
          <w:szCs w:val="18"/>
          <w:rFonts w:ascii="Cambria" w:eastAsia="Calibri" w:hAnsi="Calibri" w:hint="default"/>
        </w:rPr>
        <w:t xml:space="preserve"> op, p1 , A14.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multiLevelType w:val="hybridMultilevel"/>
    <w:nsid w:val="2F000000"/>
    <w:tmpl w:val="4D341788"/>
    <w:lvl w:ilvl="0">
      <w:lvlJc w:val="left"/>
      <w:numFmt w:val="decimal"/>
      <w:start w:val="1"/>
      <w:suff w:val="tab"/>
      <w:pPr>
        <w:ind w:left="720" w:hanging="360"/>
        <w:jc w:val="both"/>
      </w:pPr>
      <w:rPr>
        <w:shd w:val="clear"/>
        <w:sz w:val="20"/>
        <w:szCs w:val="20"/>
        <w:w w:val="100"/>
      </w:rPr>
      <w:lvlText w:val="%1-"/>
    </w:lvl>
    <w:lvl w:ilvl="1">
      <w:lvlJc w:val="left"/>
      <w:numFmt w:val="lowerLetter"/>
      <w:start w:val="1"/>
      <w:suff w:val="tab"/>
      <w:pPr>
        <w:ind w:left="1440" w:hanging="360"/>
        <w:jc w:val="both"/>
      </w:pPr>
      <w:lvlText w:val="%2."/>
    </w:lvl>
    <w:lvl w:ilvl="2">
      <w:lvlJc w:val="right"/>
      <w:numFmt w:val="lowerRoman"/>
      <w:start w:val="1"/>
      <w:suff w:val="tab"/>
      <w:pPr>
        <w:ind w:left="2160" w:hanging="180"/>
        <w:jc w:val="both"/>
      </w:pPr>
      <w:lvlText w:val="%3."/>
    </w:lvl>
    <w:lvl w:ilvl="3">
      <w:lvlJc w:val="left"/>
      <w:numFmt w:val="decimal"/>
      <w:start w:val="1"/>
      <w:suff w:val="tab"/>
      <w:pPr>
        <w:ind w:left="2880" w:hanging="360"/>
        <w:jc w:val="both"/>
      </w:pPr>
      <w:lvlText w:val="%4."/>
    </w:lvl>
    <w:lvl w:ilvl="4">
      <w:lvlJc w:val="left"/>
      <w:numFmt w:val="lowerLetter"/>
      <w:start w:val="1"/>
      <w:suff w:val="tab"/>
      <w:pPr>
        <w:ind w:left="3600" w:hanging="360"/>
        <w:jc w:val="both"/>
      </w:pPr>
      <w:lvlText w:val="%5."/>
    </w:lvl>
    <w:lvl w:ilvl="5">
      <w:lvlJc w:val="right"/>
      <w:numFmt w:val="lowerRoman"/>
      <w:start w:val="1"/>
      <w:suff w:val="tab"/>
      <w:pPr>
        <w:ind w:left="4320" w:hanging="180"/>
        <w:jc w:val="both"/>
      </w:pPr>
      <w:lvlText w:val="%6."/>
    </w:lvl>
    <w:lvl w:ilvl="6">
      <w:lvlJc w:val="left"/>
      <w:numFmt w:val="decimal"/>
      <w:start w:val="1"/>
      <w:suff w:val="tab"/>
      <w:pPr>
        <w:ind w:left="5040" w:hanging="360"/>
        <w:jc w:val="both"/>
      </w:pPr>
      <w:lvlText w:val="%7."/>
    </w:lvl>
    <w:lvl w:ilvl="7">
      <w:lvlJc w:val="left"/>
      <w:numFmt w:val="lowerLetter"/>
      <w:start w:val="1"/>
      <w:suff w:val="tab"/>
      <w:pPr>
        <w:ind w:left="5760" w:hanging="360"/>
        <w:jc w:val="both"/>
      </w:pPr>
      <w:lvlText w:val="%8."/>
    </w:lvl>
    <w:lvl w:ilvl="8">
      <w:lvlJc w:val="right"/>
      <w:numFmt w:val="lowerRoman"/>
      <w:start w:val="1"/>
      <w:suff w:val="tab"/>
      <w:pPr>
        <w:ind w:left="6480" w:hanging="180"/>
        <w:jc w:val="both"/>
      </w:pPr>
      <w:lvlText w:val="%9."/>
    </w:lvl>
  </w:abstractNum>
  <w:abstractNum w:abstractNumId="1">
    <w:multiLevelType w:val="hybridMultilevel"/>
    <w:nsid w:val="2F000001"/>
    <w:tmpl w:val="41F611D9"/>
    <w:lvl w:ilvl="0">
      <w:lvlJc w:val="left"/>
      <w:numFmt w:val="decimal"/>
      <w:start w:val="1"/>
      <w:suff w:val="tab"/>
      <w:pPr>
        <w:ind w:left="1080" w:hanging="720"/>
        <w:jc w:val="both"/>
      </w:pPr>
      <w:rPr>
        <w:shd w:val="clear"/>
        <w:sz w:val="20"/>
        <w:szCs w:val="20"/>
        <w:w w:val="100"/>
      </w:rPr>
      <w:lvlText w:val="%1-"/>
    </w:lvl>
    <w:lvl w:ilvl="1">
      <w:lvlJc w:val="left"/>
      <w:numFmt w:val="lowerLetter"/>
      <w:start w:val="1"/>
      <w:suff w:val="tab"/>
      <w:pPr>
        <w:ind w:left="1440" w:hanging="360"/>
        <w:jc w:val="both"/>
      </w:pPr>
      <w:lvlText w:val="%2."/>
    </w:lvl>
    <w:lvl w:ilvl="2">
      <w:lvlJc w:val="right"/>
      <w:numFmt w:val="lowerRoman"/>
      <w:start w:val="1"/>
      <w:suff w:val="tab"/>
      <w:pPr>
        <w:ind w:left="2160" w:hanging="180"/>
        <w:jc w:val="both"/>
      </w:pPr>
      <w:lvlText w:val="%3."/>
    </w:lvl>
    <w:lvl w:ilvl="3">
      <w:lvlJc w:val="left"/>
      <w:numFmt w:val="decimal"/>
      <w:start w:val="1"/>
      <w:suff w:val="tab"/>
      <w:pPr>
        <w:ind w:left="2880" w:hanging="360"/>
        <w:jc w:val="both"/>
      </w:pPr>
      <w:lvlText w:val="%4."/>
    </w:lvl>
    <w:lvl w:ilvl="4">
      <w:lvlJc w:val="left"/>
      <w:numFmt w:val="lowerLetter"/>
      <w:start w:val="1"/>
      <w:suff w:val="tab"/>
      <w:pPr>
        <w:ind w:left="3600" w:hanging="360"/>
        <w:jc w:val="both"/>
      </w:pPr>
      <w:lvlText w:val="%5."/>
    </w:lvl>
    <w:lvl w:ilvl="5">
      <w:lvlJc w:val="right"/>
      <w:numFmt w:val="lowerRoman"/>
      <w:start w:val="1"/>
      <w:suff w:val="tab"/>
      <w:pPr>
        <w:ind w:left="4320" w:hanging="180"/>
        <w:jc w:val="both"/>
      </w:pPr>
      <w:lvlText w:val="%6."/>
    </w:lvl>
    <w:lvl w:ilvl="6">
      <w:lvlJc w:val="left"/>
      <w:numFmt w:val="decimal"/>
      <w:start w:val="1"/>
      <w:suff w:val="tab"/>
      <w:pPr>
        <w:ind w:left="5040" w:hanging="360"/>
        <w:jc w:val="both"/>
      </w:pPr>
      <w:lvlText w:val="%7."/>
    </w:lvl>
    <w:lvl w:ilvl="7">
      <w:lvlJc w:val="left"/>
      <w:numFmt w:val="lowerLetter"/>
      <w:start w:val="1"/>
      <w:suff w:val="tab"/>
      <w:pPr>
        <w:ind w:left="5760" w:hanging="360"/>
        <w:jc w:val="both"/>
      </w:pPr>
      <w:lvlText w:val="%8."/>
    </w:lvl>
    <w:lvl w:ilvl="8">
      <w:lvlJc w:val="right"/>
      <w:numFmt w:val="lowerRoman"/>
      <w:start w:val="1"/>
      <w:suff w:val="tab"/>
      <w:pPr>
        <w:ind w:left="6480" w:hanging="180"/>
        <w:jc w:val="both"/>
      </w:pPr>
      <w:lvlText w:val="%9."/>
    </w:lvl>
  </w:abstractNum>
  <w:abstractNum w:abstractNumId="2">
    <w:multiLevelType w:val="hybridMultilevel"/>
    <w:nsid w:val="2F000002"/>
    <w:tmpl w:val="4BFC9FD5"/>
    <w:lvl w:ilvl="0">
      <w:lvlJc w:val="left"/>
      <w:numFmt w:val="decimal"/>
      <w:start w:val="1"/>
      <w:suff w:val="tab"/>
      <w:pPr>
        <w:ind w:left="1080" w:hanging="720"/>
        <w:jc w:val="both"/>
      </w:pPr>
      <w:rPr>
        <w:shd w:val="clear"/>
        <w:sz w:val="20"/>
        <w:szCs w:val="20"/>
        <w:w w:val="100"/>
      </w:rPr>
      <w:lvlText w:val="%1-"/>
    </w:lvl>
    <w:lvl w:ilvl="1">
      <w:lvlJc w:val="left"/>
      <w:numFmt w:val="lowerLetter"/>
      <w:start w:val="1"/>
      <w:suff w:val="tab"/>
      <w:pPr>
        <w:ind w:left="1440" w:hanging="360"/>
        <w:jc w:val="both"/>
      </w:pPr>
      <w:lvlText w:val="%2."/>
    </w:lvl>
    <w:lvl w:ilvl="2">
      <w:lvlJc w:val="right"/>
      <w:numFmt w:val="lowerRoman"/>
      <w:start w:val="1"/>
      <w:suff w:val="tab"/>
      <w:pPr>
        <w:ind w:left="2160" w:hanging="180"/>
        <w:jc w:val="both"/>
      </w:pPr>
      <w:lvlText w:val="%3."/>
    </w:lvl>
    <w:lvl w:ilvl="3">
      <w:lvlJc w:val="left"/>
      <w:numFmt w:val="decimal"/>
      <w:start w:val="1"/>
      <w:suff w:val="tab"/>
      <w:pPr>
        <w:ind w:left="2880" w:hanging="360"/>
        <w:jc w:val="both"/>
      </w:pPr>
      <w:lvlText w:val="%4."/>
    </w:lvl>
    <w:lvl w:ilvl="4">
      <w:lvlJc w:val="left"/>
      <w:numFmt w:val="lowerLetter"/>
      <w:start w:val="1"/>
      <w:suff w:val="tab"/>
      <w:pPr>
        <w:ind w:left="3600" w:hanging="360"/>
        <w:jc w:val="both"/>
      </w:pPr>
      <w:lvlText w:val="%5."/>
    </w:lvl>
    <w:lvl w:ilvl="5">
      <w:lvlJc w:val="right"/>
      <w:numFmt w:val="lowerRoman"/>
      <w:start w:val="1"/>
      <w:suff w:val="tab"/>
      <w:pPr>
        <w:ind w:left="4320" w:hanging="180"/>
        <w:jc w:val="both"/>
      </w:pPr>
      <w:lvlText w:val="%6."/>
    </w:lvl>
    <w:lvl w:ilvl="6">
      <w:lvlJc w:val="left"/>
      <w:numFmt w:val="decimal"/>
      <w:start w:val="1"/>
      <w:suff w:val="tab"/>
      <w:pPr>
        <w:ind w:left="5040" w:hanging="360"/>
        <w:jc w:val="both"/>
      </w:pPr>
      <w:lvlText w:val="%7."/>
    </w:lvl>
    <w:lvl w:ilvl="7">
      <w:lvlJc w:val="left"/>
      <w:numFmt w:val="lowerLetter"/>
      <w:start w:val="1"/>
      <w:suff w:val="tab"/>
      <w:pPr>
        <w:ind w:left="5760" w:hanging="360"/>
        <w:jc w:val="both"/>
      </w:pPr>
      <w:lvlText w:val="%8."/>
    </w:lvl>
    <w:lvl w:ilvl="8">
      <w:lvlJc w:val="right"/>
      <w:numFmt w:val="lowerRoman"/>
      <w:start w:val="1"/>
      <w:suff w:val="tab"/>
      <w:pPr>
        <w:ind w:left="6480" w:hanging="180"/>
        <w:jc w:val="both"/>
      </w:pPr>
      <w:lvlText w:val="%9."/>
    </w:lvl>
  </w:abstractNum>
  <w:abstractNum w:abstractNumId="3">
    <w:multiLevelType w:val="hybridMultilevel"/>
    <w:nsid w:val="2F000003"/>
    <w:tmpl w:val="2C7404A0"/>
    <w:lvl w:ilvl="0">
      <w:lvlJc w:val="left"/>
      <w:numFmt w:val="bullet"/>
      <w:start w:val="2"/>
      <w:suff w:val="tab"/>
      <w:pPr>
        <w:ind w:left="1440" w:hanging="360"/>
        <w:jc w:val="both"/>
      </w:pPr>
      <w:rPr>
        <w:rFonts w:ascii="Traditional Arabic" w:eastAsia="Traditional Arabic" w:hAnsi="Traditional Arabic"/>
        <w:b/>
        <w:shd w:val="clear"/>
        <w:sz w:val="32"/>
        <w:szCs w:val="32"/>
        <w:w w:val="100"/>
      </w:rPr>
      <w:lvlText w:val="-"/>
    </w:lvl>
    <w:lvl w:ilvl="1">
      <w:lvlJc w:val="left"/>
      <w:numFmt w:val="bullet"/>
      <w:start w:val="1"/>
      <w:suff w:val="tab"/>
      <w:pPr>
        <w:ind w:left="2160" w:hanging="360"/>
        <w:jc w:val="both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880" w:hanging="360"/>
        <w:jc w:val="both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3600" w:hanging="360"/>
        <w:jc w:val="both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4320" w:hanging="360"/>
        <w:jc w:val="both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5040" w:hanging="360"/>
        <w:jc w:val="both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760" w:hanging="360"/>
        <w:jc w:val="both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6480" w:hanging="360"/>
        <w:jc w:val="both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7200" w:hanging="360"/>
        <w:jc w:val="both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4">
    <w:multiLevelType w:val="hybridMultilevel"/>
    <w:nsid w:val="2F000004"/>
    <w:tmpl w:val="2E46A233"/>
    <w:lvl w:ilvl="0">
      <w:lvlJc w:val="left"/>
      <w:numFmt w:val="decimal"/>
      <w:start w:val="1"/>
      <w:suff w:val="tab"/>
      <w:pPr>
        <w:ind w:left="1080" w:hanging="720"/>
        <w:jc w:val="both"/>
      </w:pPr>
      <w:rPr>
        <w:b/>
        <w:shd w:val="clear"/>
        <w:sz w:val="20"/>
        <w:szCs w:val="20"/>
        <w:u w:val="none"/>
        <w:w w:val="100"/>
      </w:rPr>
      <w:lvlText w:val="%1-"/>
    </w:lvl>
    <w:lvl w:ilvl="1">
      <w:lvlJc w:val="left"/>
      <w:numFmt w:val="lowerLetter"/>
      <w:start w:val="1"/>
      <w:suff w:val="tab"/>
      <w:pPr>
        <w:ind w:left="1440" w:hanging="360"/>
        <w:jc w:val="both"/>
      </w:pPr>
      <w:lvlText w:val="%2."/>
    </w:lvl>
    <w:lvl w:ilvl="2">
      <w:lvlJc w:val="right"/>
      <w:numFmt w:val="lowerRoman"/>
      <w:start w:val="1"/>
      <w:suff w:val="tab"/>
      <w:pPr>
        <w:ind w:left="2160" w:hanging="180"/>
        <w:jc w:val="both"/>
      </w:pPr>
      <w:lvlText w:val="%3."/>
    </w:lvl>
    <w:lvl w:ilvl="3">
      <w:lvlJc w:val="left"/>
      <w:numFmt w:val="decimal"/>
      <w:start w:val="1"/>
      <w:suff w:val="tab"/>
      <w:pPr>
        <w:ind w:left="2880" w:hanging="360"/>
        <w:jc w:val="both"/>
      </w:pPr>
      <w:lvlText w:val="%4."/>
    </w:lvl>
    <w:lvl w:ilvl="4">
      <w:lvlJc w:val="left"/>
      <w:numFmt w:val="lowerLetter"/>
      <w:start w:val="1"/>
      <w:suff w:val="tab"/>
      <w:pPr>
        <w:ind w:left="3600" w:hanging="360"/>
        <w:jc w:val="both"/>
      </w:pPr>
      <w:lvlText w:val="%5."/>
    </w:lvl>
    <w:lvl w:ilvl="5">
      <w:lvlJc w:val="right"/>
      <w:numFmt w:val="lowerRoman"/>
      <w:start w:val="1"/>
      <w:suff w:val="tab"/>
      <w:pPr>
        <w:ind w:left="4320" w:hanging="180"/>
        <w:jc w:val="both"/>
      </w:pPr>
      <w:lvlText w:val="%6."/>
    </w:lvl>
    <w:lvl w:ilvl="6">
      <w:lvlJc w:val="left"/>
      <w:numFmt w:val="decimal"/>
      <w:start w:val="1"/>
      <w:suff w:val="tab"/>
      <w:pPr>
        <w:ind w:left="5040" w:hanging="360"/>
        <w:jc w:val="both"/>
      </w:pPr>
      <w:lvlText w:val="%7."/>
    </w:lvl>
    <w:lvl w:ilvl="7">
      <w:lvlJc w:val="left"/>
      <w:numFmt w:val="lowerLetter"/>
      <w:start w:val="1"/>
      <w:suff w:val="tab"/>
      <w:pPr>
        <w:ind w:left="5760" w:hanging="360"/>
        <w:jc w:val="both"/>
      </w:pPr>
      <w:lvlText w:val="%8."/>
    </w:lvl>
    <w:lvl w:ilvl="8">
      <w:lvlJc w:val="right"/>
      <w:numFmt w:val="lowerRoman"/>
      <w:start w:val="1"/>
      <w:suff w:val="tab"/>
      <w:pPr>
        <w:ind w:left="6480" w:hanging="180"/>
        <w:jc w:val="both"/>
      </w:pPr>
      <w:lvlText w:val="%9."/>
    </w:lvl>
  </w:abstractNum>
  <w:abstractNum w:abstractNumId="5">
    <w:multiLevelType w:val="hybridMultilevel"/>
    <w:nsid w:val="2F000005"/>
    <w:tmpl w:val="59573FC8"/>
    <w:lvl w:ilvl="0">
      <w:lvlJc w:val="left"/>
      <w:numFmt w:val="bullet"/>
      <w:suff w:val="tab"/>
      <w:pPr>
        <w:ind w:left="720" w:hanging="360"/>
        <w:jc w:val="both"/>
      </w:pPr>
      <w:rPr>
        <w:rFonts w:ascii="Traditional Arabic" w:eastAsia="Traditional Arabic" w:hAnsi="Traditional Arabic"/>
        <w:shd w:val="clear"/>
        <w:sz w:val="20"/>
        <w:szCs w:val="20"/>
        <w:w w:val="100"/>
      </w:rPr>
      <w:lvlText w:val="-"/>
    </w:lvl>
    <w:lvl w:ilvl="1">
      <w:lvlJc w:val="left"/>
      <w:numFmt w:val="bullet"/>
      <w:start w:val="1"/>
      <w:suff w:val="tab"/>
      <w:pPr>
        <w:ind w:left="1440" w:hanging="360"/>
        <w:jc w:val="both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  <w:jc w:val="both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  <w:jc w:val="both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  <w:jc w:val="both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  <w:jc w:val="both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  <w:jc w:val="both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  <w:jc w:val="both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  <w:jc w:val="both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6">
    <w:multiLevelType w:val="hybridMultilevel"/>
    <w:nsid w:val="2F000006"/>
    <w:tmpl w:val="2EBF7E38"/>
    <w:lvl w:ilvl="0">
      <w:lvlJc w:val="left"/>
      <w:numFmt w:val="bullet"/>
      <w:suff w:val="tab"/>
      <w:pPr>
        <w:ind w:left="720" w:hanging="360"/>
        <w:jc w:val="both"/>
      </w:pPr>
      <w:rPr>
        <w:rFonts w:ascii="Traditional Arabic" w:eastAsia="Traditional Arabic" w:hAnsi="Traditional Arabic"/>
        <w:b/>
        <w:shd w:val="clear"/>
        <w:sz w:val="20"/>
        <w:szCs w:val="20"/>
        <w:w w:val="100"/>
      </w:rPr>
      <w:lvlText w:val="-"/>
    </w:lvl>
    <w:lvl w:ilvl="1">
      <w:lvlJc w:val="left"/>
      <w:numFmt w:val="bullet"/>
      <w:start w:val="1"/>
      <w:suff w:val="tab"/>
      <w:pPr>
        <w:ind w:left="1440" w:hanging="360"/>
        <w:jc w:val="both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  <w:jc w:val="both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  <w:jc w:val="both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  <w:jc w:val="both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  <w:jc w:val="both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  <w:jc w:val="both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  <w:jc w:val="both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  <w:jc w:val="both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7">
    <w:multiLevelType w:val="hybridMultilevel"/>
    <w:nsid w:val="2F000007"/>
    <w:tmpl w:val="39B58348"/>
    <w:lvl w:ilvl="0">
      <w:lvlJc w:val="left"/>
      <w:numFmt w:val="bullet"/>
      <w:start w:val="1"/>
      <w:suff w:val="tab"/>
      <w:pPr>
        <w:ind w:left="1080" w:hanging="360"/>
        <w:jc w:val="both"/>
      </w:pPr>
      <w:rPr>
        <w:rtl/>
        <w:rFonts w:ascii="Arial" w:eastAsia="Arial" w:hAnsi="Arial"/>
        <w:b w:val="0"/>
        <w:shd w:val="clear"/>
        <w:sz w:val="20"/>
        <w:szCs w:val="20"/>
        <w:u w:val="none"/>
        <w:w w:val="100"/>
      </w:rPr>
      <w:lvlText w:val="-"/>
    </w:lvl>
    <w:lvl w:ilvl="1">
      <w:lvlJc w:val="left"/>
      <w:numFmt w:val="bullet"/>
      <w:start w:val="1"/>
      <w:suff w:val="tab"/>
      <w:pPr>
        <w:ind w:left="1800" w:hanging="360"/>
        <w:jc w:val="both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520" w:hanging="360"/>
        <w:jc w:val="both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3240" w:hanging="360"/>
        <w:jc w:val="both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960" w:hanging="360"/>
        <w:jc w:val="both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680" w:hanging="360"/>
        <w:jc w:val="both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400" w:hanging="360"/>
        <w:jc w:val="both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6120" w:hanging="360"/>
        <w:jc w:val="both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840" w:hanging="360"/>
        <w:jc w:val="both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8">
    <w:multiLevelType w:val="hybridMultilevel"/>
    <w:nsid w:val="2F000008"/>
    <w:tmpl w:val="57350681"/>
    <w:lvl w:ilvl="0">
      <w:lvlJc w:val="left"/>
      <w:numFmt w:val="bullet"/>
      <w:start w:val="2"/>
      <w:suff w:val="tab"/>
      <w:pPr>
        <w:ind w:left="1440" w:hanging="360"/>
        <w:jc w:val="both"/>
      </w:pPr>
      <w:lvlText w:val="-"/>
    </w:lvl>
    <w:lvl w:ilvl="1">
      <w:lvlJc w:val="left"/>
      <w:numFmt w:val="bullet"/>
      <w:start w:val="1"/>
      <w:suff w:val="tab"/>
      <w:pPr>
        <w:ind w:left="2160" w:hanging="360"/>
        <w:jc w:val="both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880" w:hanging="360"/>
        <w:jc w:val="both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3600" w:hanging="360"/>
        <w:jc w:val="both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4320" w:hanging="360"/>
        <w:jc w:val="both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5040" w:hanging="360"/>
        <w:jc w:val="both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760" w:hanging="360"/>
        <w:jc w:val="both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6480" w:hanging="360"/>
        <w:jc w:val="both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7200" w:hanging="360"/>
        <w:jc w:val="both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9">
    <w:multiLevelType w:val="hybridMultilevel"/>
    <w:nsid w:val="2F000009"/>
    <w:tmpl w:val="5E6654CA"/>
    <w:lvl w:ilvl="0">
      <w:lvlJc w:val="left"/>
      <w:numFmt w:val="bullet"/>
      <w:start w:val="1"/>
      <w:suff w:val="tab"/>
      <w:pPr>
        <w:ind w:left="1080" w:hanging="360"/>
        <w:jc w:val="both"/>
      </w:pPr>
      <w:rPr>
        <w:rFonts w:ascii="Arial" w:eastAsia="Arial" w:hAnsi="Arial"/>
        <w:b w:val="0"/>
        <w:shd w:val="clear"/>
        <w:sz w:val="20"/>
        <w:szCs w:val="20"/>
        <w:u w:val="none"/>
        <w:w w:val="100"/>
      </w:rPr>
      <w:lvlText w:val="-"/>
    </w:lvl>
    <w:lvl w:ilvl="1">
      <w:lvlJc w:val="left"/>
      <w:numFmt w:val="bullet"/>
      <w:start w:val="1"/>
      <w:suff w:val="tab"/>
      <w:pPr>
        <w:ind w:left="1800" w:hanging="360"/>
        <w:jc w:val="both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520" w:hanging="360"/>
        <w:jc w:val="both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3240" w:hanging="360"/>
        <w:jc w:val="both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960" w:hanging="360"/>
        <w:jc w:val="both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680" w:hanging="360"/>
        <w:jc w:val="both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400" w:hanging="360"/>
        <w:jc w:val="both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6120" w:hanging="360"/>
        <w:jc w:val="both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840" w:hanging="360"/>
        <w:jc w:val="both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10">
    <w:multiLevelType w:val="hybridMultilevel"/>
    <w:nsid w:val="2F00000A"/>
    <w:tmpl w:val="5AB43AC0"/>
    <w:lvl w:ilvl="0">
      <w:lvlJc w:val="left"/>
      <w:numFmt w:val="bullet"/>
      <w:start w:val="1"/>
      <w:suff w:val="tab"/>
      <w:pPr>
        <w:ind w:left="1080" w:hanging="360"/>
        <w:jc w:val="both"/>
      </w:pPr>
      <w:rPr>
        <w:rtl/>
        <w:rFonts w:ascii="Arial" w:eastAsia="Arial" w:hAnsi="Arial"/>
        <w:b w:val="0"/>
        <w:shd w:val="clear"/>
        <w:sz w:val="20"/>
        <w:szCs w:val="20"/>
        <w:u w:val="none"/>
        <w:w w:val="100"/>
      </w:rPr>
      <w:lvlText w:val="-"/>
    </w:lvl>
    <w:lvl w:ilvl="1">
      <w:lvlJc w:val="left"/>
      <w:numFmt w:val="bullet"/>
      <w:start w:val="1"/>
      <w:suff w:val="tab"/>
      <w:pPr>
        <w:ind w:left="1800" w:hanging="360"/>
        <w:jc w:val="both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520" w:hanging="360"/>
        <w:jc w:val="both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3240" w:hanging="360"/>
        <w:jc w:val="both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960" w:hanging="360"/>
        <w:jc w:val="both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680" w:hanging="360"/>
        <w:jc w:val="both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400" w:hanging="360"/>
        <w:jc w:val="both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6120" w:hanging="360"/>
        <w:jc w:val="both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840" w:hanging="360"/>
        <w:jc w:val="both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7"/>
  </w:num>
  <w:num w:numId="9">
    <w:abstractNumId w:val="0"/>
  </w:num>
  <w:num w:numId="10">
    <w:abstractNumId w:val="8"/>
  </w:num>
  <w:num w:numId="11">
    <w:abstractNumId w:val="9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720"/>
  <w:displayHorizontalDrawingGridEvery w:val="0"/>
  <w:displayVerticalDrawingGridEvery w:val="2"/>
  <w:noPunctuationKerning/>
  <w:characterSpacingControl w:val="doNotCompress"/>
  <w:bordersDoNotSurroundHeader/>
  <w:footnotePr>
    <w:footnote w:id="-1"/>
    <w:footnote w:id="0"/>
  </w:footnotePr>
  <w:compat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Calibri" w:eastAsia="Calibri" w:hAnsi="Calibri"/>
        <w:shd w:val="clear"/>
        <w:sz w:val="22"/>
        <w:szCs w:val="22"/>
        <w:w w:val="100"/>
      </w:rPr>
    </w:rPrDefault>
  </w:docDefaults>
  <w:style w:default="1" w:styleId="PO1" w:type="paragraph">
    <w:name w:val="Normal"/>
    <w:qFormat/>
    <w:uiPriority w:val="1"/>
    <w:pPr>
      <w:autoSpaceDE w:val="1"/>
      <w:autoSpaceDN w:val="1"/>
      <w:bidi/>
      <w:widowControl/>
      <w:wordWrap/>
    </w:p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basedOn w:val="PO3"/>
    <w:uiPriority w:val="3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qFormat/>
    <w:uiPriority w:val="5"/>
    <w:pPr>
      <w:autoSpaceDE w:val="1"/>
      <w:autoSpaceDN w:val="1"/>
      <w:bidi/>
      <w:widowControl/>
      <w:wordWrap/>
    </w:pPr>
  </w:style>
  <w:style w:styleId="PO7" w:type="paragraph">
    <w:name w:val="heading 1"/>
    <w:basedOn w:val="PO1"/>
    <w:link w:val="PO161"/>
    <w:qFormat/>
    <w:uiPriority w:val="7"/>
    <w:pPr>
      <w:autoSpaceDE w:val="1"/>
      <w:autoSpaceDN w:val="1"/>
      <w:jc w:val="center"/>
      <w:keepNext/>
      <w:widowControl/>
      <w:wordWrap/>
    </w:pPr>
    <w:rPr>
      <w:rFonts w:ascii="Times New Roman" w:eastAsia="Times New Roman" w:hAnsi="Times New Roman"/>
      <w:b/>
      <w:shd w:val="clear"/>
      <w:sz w:val="40"/>
      <w:szCs w:val="40"/>
      <w:w w:val="100"/>
    </w:rPr>
  </w:style>
  <w:style w:styleId="PO17" w:type="character">
    <w:name w:val="Subtle Emphasis"/>
    <w:basedOn w:val="PO2"/>
    <w:qFormat/>
    <w:uiPriority w:val="17"/>
    <w:rPr>
      <w:color w:val="808080" w:themeColor="text1" w:themeTint="7F"/>
      <w:i/>
      <w:shd w:val="clear"/>
      <w:sz w:val="20"/>
      <w:szCs w:val="20"/>
      <w:w w:val="100"/>
    </w:rPr>
  </w:style>
  <w:style w:styleId="PO20" w:type="character">
    <w:name w:val="Strong"/>
    <w:basedOn w:val="PO2"/>
    <w:qFormat/>
    <w:uiPriority w:val="20"/>
    <w:rPr>
      <w:b/>
      <w:shd w:val="clear"/>
      <w:sz w:val="20"/>
      <w:szCs w:val="20"/>
      <w:w w:val="100"/>
    </w:rPr>
  </w:style>
  <w:style w:styleId="PO26" w:type="paragraph">
    <w:name w:val="List Paragraph"/>
    <w:basedOn w:val="PO1"/>
    <w:qFormat/>
    <w:uiPriority w:val="26"/>
    <w:pPr>
      <w:autoSpaceDE w:val="1"/>
      <w:autoSpaceDN w:val="1"/>
      <w:ind w:left="720" w:firstLine="0"/>
      <w:widowControl/>
      <w:wordWrap/>
    </w:pPr>
  </w:style>
  <w:style w:default="1" w:styleId="PO37" w:type="table">
    <w:name w:val="Normal Table"/>
    <w:basedOn w:val="PO3"/>
    <w:uiPriority w:val="37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38" w:type="table">
    <w:name w:val="Table Grid"/>
    <w:uiPriority w:val="38"/>
    <w:pPr>
      <w:autoSpaceDE w:val="1"/>
      <w:autoSpaceDN w:val="1"/>
      <w:widowControl/>
      <w:wordWrap/>
    </w:pPr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152" w:type="paragraph">
    <w:name w:val="footnote text"/>
    <w:basedOn w:val="PO1"/>
    <w:link w:val="PO153"/>
    <w:uiPriority w:val="152"/>
    <w:semiHidden/>
    <w:unhideWhenUsed/>
    <w:pPr>
      <w:autoSpaceDE w:val="1"/>
      <w:autoSpaceDN w:val="1"/>
      <w:widowControl/>
      <w:wordWrap/>
    </w:pPr>
    <w:rPr>
      <w:shd w:val="clear"/>
      <w:sz w:val="20"/>
      <w:szCs w:val="20"/>
      <w:w w:val="100"/>
    </w:rPr>
  </w:style>
  <w:style w:customStyle="1" w:styleId="PO153" w:type="character">
    <w:name w:val="نص حاشية سفلية Char"/>
    <w:basedOn w:val="PO2"/>
    <w:link w:val="PO152"/>
    <w:uiPriority w:val="153"/>
    <w:semiHidden/>
    <w:rPr>
      <w:shd w:val="clear"/>
      <w:sz w:val="20"/>
      <w:szCs w:val="20"/>
      <w:w w:val="100"/>
    </w:rPr>
  </w:style>
  <w:style w:styleId="PO154" w:type="character">
    <w:name w:val="footnote reference"/>
    <w:basedOn w:val="PO2"/>
    <w:uiPriority w:val="154"/>
    <w:semiHidden/>
    <w:unhideWhenUsed/>
    <w:rPr>
      <w:shd w:val="clear"/>
      <w:sz w:val="20"/>
      <w:szCs w:val="20"/>
      <w:vertAlign w:val="superscript"/>
      <w:w w:val="100"/>
    </w:rPr>
  </w:style>
  <w:style w:styleId="PO155" w:type="character">
    <w:name w:val="Hyperlink"/>
    <w:basedOn w:val="PO2"/>
    <w:uiPriority w:val="155"/>
    <w:unhideWhenUsed/>
    <w:rPr>
      <w:color w:val="0000FF"/>
      <w:shd w:val="clear"/>
      <w:sz w:val="20"/>
      <w:szCs w:val="20"/>
      <w:u w:val="single"/>
      <w:w w:val="100"/>
    </w:rPr>
  </w:style>
  <w:style w:customStyle="1" w:styleId="PO156" w:type="character">
    <w:name w:val="apple-style-span"/>
    <w:basedOn w:val="PO2"/>
    <w:uiPriority w:val="156"/>
  </w:style>
  <w:style w:styleId="PO157" w:type="paragraph">
    <w:name w:val="header"/>
    <w:basedOn w:val="PO1"/>
    <w:link w:val="PO158"/>
    <w:uiPriority w:val="157"/>
    <w:unhideWhenUsed/>
    <w:pPr>
      <w:autoSpaceDE w:val="1"/>
      <w:autoSpaceDN w:val="1"/>
      <w:tabs>
        <w:tab w:val="center" w:pos="4153"/>
        <w:tab w:val="right" w:pos="8306"/>
      </w:tabs>
      <w:widowControl/>
      <w:wordWrap/>
    </w:pPr>
  </w:style>
  <w:style w:customStyle="1" w:styleId="PO158" w:type="character">
    <w:name w:val="رأس صفحة Char"/>
    <w:basedOn w:val="PO2"/>
    <w:link w:val="PO157"/>
    <w:uiPriority w:val="158"/>
  </w:style>
  <w:style w:styleId="PO159" w:type="paragraph">
    <w:name w:val="footer"/>
    <w:basedOn w:val="PO1"/>
    <w:link w:val="PO160"/>
    <w:uiPriority w:val="159"/>
    <w:unhideWhenUsed/>
    <w:pPr>
      <w:autoSpaceDE w:val="1"/>
      <w:autoSpaceDN w:val="1"/>
      <w:tabs>
        <w:tab w:val="center" w:pos="4153"/>
        <w:tab w:val="right" w:pos="8306"/>
      </w:tabs>
      <w:widowControl/>
      <w:wordWrap/>
    </w:pPr>
  </w:style>
  <w:style w:customStyle="1" w:styleId="PO160" w:type="character">
    <w:name w:val="تذييل صفحة Char"/>
    <w:basedOn w:val="PO2"/>
    <w:link w:val="PO159"/>
    <w:uiPriority w:val="160"/>
  </w:style>
  <w:style w:customStyle="1" w:styleId="PO161" w:type="character">
    <w:name w:val="عنوان 1 Char"/>
    <w:basedOn w:val="PO2"/>
    <w:link w:val="PO7"/>
    <w:uiPriority w:val="161"/>
    <w:rPr>
      <w:rFonts w:ascii="Times New Roman" w:eastAsia="Times New Roman" w:hAnsi="Times New Roman"/>
      <w:b/>
      <w:shd w:val="clear"/>
      <w:sz w:val="40"/>
      <w:szCs w:val="40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customXml" Target="../customXml/item1.xml"></Relationship><Relationship Id="rId6" Type="http://schemas.openxmlformats.org/officeDocument/2006/relationships/footer" Target="footer2.xml"></Relationship><Relationship Id="rId7" Type="http://schemas.openxmlformats.org/officeDocument/2006/relationships/hyperlink" Target="http://search.proquest.com" TargetMode="External"></Relationship><Relationship Id="rId8" Type="http://schemas.openxmlformats.org/officeDocument/2006/relationships/numbering" Target="numbering.xml"></Relationship><Relationship Id="rId9" Type="http://schemas.openxmlformats.org/officeDocument/2006/relationships/theme" Target="theme/theme1.xml"></Relationship><Relationship Id="rId10" Type="http://schemas.openxmlformats.org/officeDocument/2006/relationships/footnotes" Target="footnotes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A0A61-7472-40B2-B59F-F26ED50AE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212</Lines>
  <LinksUpToDate>false</LinksUpToDate>
  <Pages>25</Pages>
  <Paragraphs>59</Paragraphs>
  <Words>4464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sony</dc:creator>
  <cp:lastModifiedBy>Polaris Office</cp:lastModifiedBy>
  <dcterms:modified xsi:type="dcterms:W3CDTF">2015-05-22T20:58:00Z</dcterms:modified>
</cp:coreProperties>
</file>